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2D" w:rsidRPr="003A054F" w:rsidRDefault="003A054F" w:rsidP="003A054F">
      <w:pPr>
        <w:ind w:right="4838"/>
        <w:jc w:val="center"/>
        <w:rPr>
          <w:sz w:val="14"/>
        </w:rPr>
      </w:pPr>
      <w:r>
        <w:t>................................................................</w:t>
      </w:r>
      <w:r>
        <w:br/>
      </w:r>
      <w:r w:rsidRPr="003A054F">
        <w:rPr>
          <w:sz w:val="14"/>
        </w:rPr>
        <w:t>(</w:t>
      </w:r>
      <w:r w:rsidR="00FF3C33" w:rsidRPr="003A054F">
        <w:rPr>
          <w:sz w:val="14"/>
        </w:rPr>
        <w:t>Imię i Nazwisko</w:t>
      </w:r>
      <w:r w:rsidRPr="003A054F">
        <w:rPr>
          <w:sz w:val="14"/>
        </w:rPr>
        <w:t>)</w:t>
      </w:r>
    </w:p>
    <w:p w:rsidR="00FF3C33" w:rsidRPr="003A054F" w:rsidRDefault="003A054F" w:rsidP="003A054F">
      <w:pPr>
        <w:ind w:right="4838"/>
        <w:jc w:val="center"/>
        <w:rPr>
          <w:sz w:val="14"/>
        </w:rPr>
      </w:pPr>
      <w:r>
        <w:t>................................................................</w:t>
      </w:r>
      <w:r>
        <w:br/>
      </w:r>
      <w:r w:rsidRPr="003A054F">
        <w:rPr>
          <w:sz w:val="14"/>
        </w:rPr>
        <w:t>(</w:t>
      </w:r>
      <w:r w:rsidR="00FF3C33" w:rsidRPr="003A054F">
        <w:rPr>
          <w:sz w:val="14"/>
        </w:rPr>
        <w:t>ul</w:t>
      </w:r>
      <w:r w:rsidRPr="003A054F">
        <w:rPr>
          <w:sz w:val="14"/>
        </w:rPr>
        <w:t>ica,</w:t>
      </w:r>
      <w:r w:rsidR="00FF3C33" w:rsidRPr="003A054F">
        <w:rPr>
          <w:sz w:val="14"/>
        </w:rPr>
        <w:t xml:space="preserve"> numer domu/mieszkania</w:t>
      </w:r>
      <w:r w:rsidRPr="003A054F">
        <w:rPr>
          <w:sz w:val="14"/>
        </w:rPr>
        <w:t>)</w:t>
      </w:r>
    </w:p>
    <w:p w:rsidR="00FF3C33" w:rsidRPr="003A054F" w:rsidRDefault="003A054F" w:rsidP="003A054F">
      <w:pPr>
        <w:ind w:right="4838"/>
        <w:jc w:val="center"/>
        <w:rPr>
          <w:sz w:val="14"/>
        </w:rPr>
      </w:pPr>
      <w:r>
        <w:t>................................................................</w:t>
      </w:r>
      <w:r>
        <w:br/>
      </w:r>
      <w:r w:rsidRPr="003A054F">
        <w:rPr>
          <w:sz w:val="14"/>
        </w:rPr>
        <w:t>(</w:t>
      </w:r>
      <w:r w:rsidR="00FF3C33" w:rsidRPr="003A054F">
        <w:rPr>
          <w:sz w:val="14"/>
        </w:rPr>
        <w:t>kod pocztowy i miejscowość</w:t>
      </w:r>
      <w:r w:rsidRPr="003A054F">
        <w:rPr>
          <w:sz w:val="14"/>
        </w:rPr>
        <w:t>)</w:t>
      </w:r>
    </w:p>
    <w:p w:rsidR="00E877AA" w:rsidRPr="00845ABC" w:rsidRDefault="00E877AA" w:rsidP="003E1B02">
      <w:pPr>
        <w:shd w:val="clear" w:color="auto" w:fill="FFFFFF"/>
        <w:spacing w:after="36" w:line="240" w:lineRule="auto"/>
        <w:ind w:left="4962"/>
        <w:rPr>
          <w:rFonts w:eastAsia="Times New Roman" w:cs="Arial"/>
          <w:bCs/>
          <w:color w:val="222222"/>
          <w:lang w:eastAsia="pl-PL"/>
        </w:rPr>
      </w:pPr>
      <w:r w:rsidRPr="00845ABC">
        <w:rPr>
          <w:rFonts w:eastAsia="Times New Roman" w:cs="Arial"/>
          <w:bCs/>
          <w:color w:val="222222"/>
          <w:lang w:eastAsia="pl-PL"/>
        </w:rPr>
        <w:t xml:space="preserve">Wojskowy Sąd </w:t>
      </w:r>
      <w:r>
        <w:rPr>
          <w:rFonts w:eastAsia="Times New Roman" w:cs="Arial"/>
          <w:bCs/>
          <w:color w:val="222222"/>
          <w:lang w:eastAsia="pl-PL"/>
        </w:rPr>
        <w:t>Okręgowy</w:t>
      </w:r>
      <w:r w:rsidRPr="00845ABC">
        <w:rPr>
          <w:rFonts w:eastAsia="Times New Roman" w:cs="Arial"/>
          <w:bCs/>
          <w:color w:val="222222"/>
          <w:lang w:eastAsia="pl-PL"/>
        </w:rPr>
        <w:t xml:space="preserve"> w </w:t>
      </w:r>
      <w:r>
        <w:rPr>
          <w:rFonts w:eastAsia="Times New Roman" w:cs="Arial"/>
          <w:bCs/>
          <w:color w:val="222222"/>
          <w:lang w:eastAsia="pl-PL"/>
        </w:rPr>
        <w:t>Warszawie</w:t>
      </w:r>
    </w:p>
    <w:p w:rsidR="00E877AA" w:rsidRPr="00845ABC" w:rsidRDefault="00E877AA" w:rsidP="003E1B02">
      <w:pPr>
        <w:shd w:val="clear" w:color="auto" w:fill="FFFFFF"/>
        <w:spacing w:after="36" w:line="240" w:lineRule="auto"/>
        <w:ind w:left="4962"/>
        <w:rPr>
          <w:rFonts w:eastAsia="Times New Roman" w:cs="Arial"/>
          <w:bCs/>
          <w:color w:val="222222"/>
          <w:lang w:eastAsia="pl-PL"/>
        </w:rPr>
      </w:pPr>
      <w:r>
        <w:rPr>
          <w:rFonts w:eastAsia="Times New Roman" w:cs="Arial"/>
          <w:bCs/>
          <w:color w:val="222222"/>
          <w:lang w:eastAsia="pl-PL"/>
        </w:rPr>
        <w:t>ul. Nowowiejska 28A</w:t>
      </w:r>
    </w:p>
    <w:p w:rsidR="00E877AA" w:rsidRPr="00845ABC" w:rsidRDefault="00E877AA" w:rsidP="003E1B02">
      <w:pPr>
        <w:shd w:val="clear" w:color="auto" w:fill="FFFFFF"/>
        <w:spacing w:after="36" w:line="240" w:lineRule="auto"/>
        <w:ind w:left="4962"/>
        <w:rPr>
          <w:rFonts w:eastAsia="Times New Roman" w:cs="Arial"/>
          <w:b/>
          <w:bCs/>
          <w:color w:val="222222"/>
          <w:u w:val="single"/>
          <w:lang w:eastAsia="pl-PL"/>
        </w:rPr>
      </w:pPr>
      <w:r>
        <w:rPr>
          <w:rFonts w:eastAsia="Times New Roman" w:cs="Arial"/>
          <w:b/>
          <w:bCs/>
          <w:color w:val="222222"/>
          <w:u w:val="single"/>
          <w:lang w:eastAsia="pl-PL"/>
        </w:rPr>
        <w:t>00-909</w:t>
      </w:r>
      <w:r w:rsidRPr="00845ABC">
        <w:rPr>
          <w:rFonts w:eastAsia="Times New Roman" w:cs="Arial"/>
          <w:b/>
          <w:bCs/>
          <w:color w:val="222222"/>
          <w:u w:val="single"/>
          <w:lang w:eastAsia="pl-PL"/>
        </w:rPr>
        <w:t xml:space="preserve"> </w:t>
      </w:r>
      <w:r>
        <w:rPr>
          <w:rFonts w:eastAsia="Times New Roman" w:cs="Arial"/>
          <w:b/>
          <w:bCs/>
          <w:color w:val="222222"/>
          <w:u w:val="single"/>
          <w:lang w:eastAsia="pl-PL"/>
        </w:rPr>
        <w:t>Warszawa</w:t>
      </w:r>
    </w:p>
    <w:p w:rsidR="00030C31" w:rsidRDefault="00030C31" w:rsidP="00030C31">
      <w:pPr>
        <w:rPr>
          <w:b/>
        </w:rPr>
      </w:pPr>
      <w:r>
        <w:rPr>
          <w:rStyle w:val="Pogrubienie"/>
          <w:rFonts w:cstheme="minorHAnsi"/>
          <w:b w:val="0"/>
          <w:color w:val="000000" w:themeColor="text1"/>
          <w:shd w:val="clear" w:color="auto" w:fill="FFFFFF"/>
        </w:rPr>
        <w:t xml:space="preserve">Sygn. akt: </w:t>
      </w:r>
      <w:r w:rsidRPr="00AC081D">
        <w:rPr>
          <w:rStyle w:val="Pogrubienie"/>
          <w:rFonts w:cstheme="minorHAnsi"/>
          <w:b w:val="0"/>
          <w:color w:val="000000" w:themeColor="text1"/>
          <w:shd w:val="clear" w:color="auto" w:fill="FFFFFF"/>
        </w:rPr>
        <w:t>SA 35/24</w:t>
      </w:r>
      <w:r w:rsidR="00E877AA">
        <w:rPr>
          <w:rStyle w:val="Pogrubienie"/>
          <w:rFonts w:cstheme="minorHAnsi"/>
          <w:b w:val="0"/>
          <w:color w:val="000000" w:themeColor="text1"/>
          <w:shd w:val="clear" w:color="auto" w:fill="FFFFFF"/>
        </w:rPr>
        <w:br/>
        <w:t>Oskarżony: Szymon Fijał</w:t>
      </w:r>
    </w:p>
    <w:p w:rsidR="00FF3C33" w:rsidRDefault="00AC081D" w:rsidP="00CA52CE">
      <w:pPr>
        <w:jc w:val="center"/>
        <w:rPr>
          <w:b/>
        </w:rPr>
      </w:pPr>
      <w:r>
        <w:rPr>
          <w:b/>
        </w:rPr>
        <w:t>PISMO WRAZ Z WNIOSKIEM</w:t>
      </w:r>
    </w:p>
    <w:p w:rsidR="003A57D1" w:rsidRDefault="00412DA2" w:rsidP="002F55E7">
      <w:pPr>
        <w:ind w:firstLine="709"/>
        <w:jc w:val="both"/>
        <w:rPr>
          <w:b/>
        </w:rPr>
      </w:pPr>
      <w:r>
        <w:rPr>
          <w:b/>
        </w:rPr>
        <w:t xml:space="preserve">W związku z uniewinnieniem oskarżonego oraz apelacją prokuratora podnoszącą jedynie argumenty dotyczące naruszenia prawa procesowego, a nie materialnego - </w:t>
      </w:r>
    </w:p>
    <w:p w:rsidR="00E877AA" w:rsidRDefault="003E1B02" w:rsidP="003A57D1">
      <w:pPr>
        <w:pStyle w:val="Akapitzlist"/>
        <w:numPr>
          <w:ilvl w:val="0"/>
          <w:numId w:val="3"/>
        </w:numPr>
        <w:ind w:left="709"/>
        <w:jc w:val="both"/>
        <w:rPr>
          <w:b/>
        </w:rPr>
      </w:pPr>
      <w:r>
        <w:rPr>
          <w:b/>
        </w:rPr>
        <w:t xml:space="preserve">Wnoszę o uwzględnienie okoliczności mających istotne znaczenie dla rozpoznania sprawy wynikających z przestrzegania przez por. rez. Szymona Fijała zapisów obowiązujących aktów prawnych wymienionych w art. 10 Ustawy </w:t>
      </w:r>
      <w:r w:rsidRPr="003A57D1">
        <w:rPr>
          <w:b/>
        </w:rPr>
        <w:t>z dnia 14 kwietnia 2024 r. o ochronie sygnalistów</w:t>
      </w:r>
      <w:r>
        <w:rPr>
          <w:b/>
        </w:rPr>
        <w:t xml:space="preserve">. </w:t>
      </w:r>
    </w:p>
    <w:p w:rsidR="003A57D1" w:rsidRPr="003A57D1" w:rsidRDefault="00E877AA" w:rsidP="003A57D1">
      <w:pPr>
        <w:pStyle w:val="Akapitzlist"/>
        <w:numPr>
          <w:ilvl w:val="0"/>
          <w:numId w:val="3"/>
        </w:numPr>
        <w:ind w:left="709"/>
        <w:jc w:val="both"/>
        <w:rPr>
          <w:b/>
        </w:rPr>
      </w:pPr>
      <w:r>
        <w:rPr>
          <w:b/>
        </w:rPr>
        <w:t>N</w:t>
      </w:r>
      <w:r w:rsidR="00736015" w:rsidRPr="003A57D1">
        <w:rPr>
          <w:b/>
        </w:rPr>
        <w:t>a</w:t>
      </w:r>
      <w:r w:rsidR="002F55E7" w:rsidRPr="003A57D1">
        <w:rPr>
          <w:b/>
        </w:rPr>
        <w:t> </w:t>
      </w:r>
      <w:r w:rsidR="00736015" w:rsidRPr="003A57D1">
        <w:rPr>
          <w:b/>
        </w:rPr>
        <w:t>podstawie art. 16 ust. 1 w związku z art. 16 ust. 3 Ustawy o</w:t>
      </w:r>
      <w:r w:rsidR="002F55E7" w:rsidRPr="003A57D1">
        <w:rPr>
          <w:b/>
        </w:rPr>
        <w:t> </w:t>
      </w:r>
      <w:r w:rsidR="00736015" w:rsidRPr="003A57D1">
        <w:rPr>
          <w:b/>
        </w:rPr>
        <w:t xml:space="preserve">ochronie sygnalistów - </w:t>
      </w:r>
      <w:r>
        <w:rPr>
          <w:b/>
        </w:rPr>
        <w:t>wskazuję konieczność</w:t>
      </w:r>
      <w:r w:rsidR="00736015" w:rsidRPr="003A57D1">
        <w:rPr>
          <w:b/>
        </w:rPr>
        <w:t xml:space="preserve"> </w:t>
      </w:r>
      <w:r>
        <w:rPr>
          <w:b/>
        </w:rPr>
        <w:t>umorzenia</w:t>
      </w:r>
      <w:r w:rsidR="00736015" w:rsidRPr="003A57D1">
        <w:rPr>
          <w:b/>
        </w:rPr>
        <w:t xml:space="preserve"> sprawy</w:t>
      </w:r>
      <w:r>
        <w:rPr>
          <w:b/>
        </w:rPr>
        <w:t xml:space="preserve"> w częściach dotyczących jakichkolwiek zarzutów i oskarżeń przeciwko por. rez. Szymonowi Fijałowi</w:t>
      </w:r>
      <w:r w:rsidR="00736015" w:rsidRPr="003A57D1">
        <w:rPr>
          <w:b/>
        </w:rPr>
        <w:t>.</w:t>
      </w:r>
    </w:p>
    <w:p w:rsidR="00AC081D" w:rsidRDefault="003A57D1" w:rsidP="003A57D1">
      <w:pPr>
        <w:pStyle w:val="Akapitzlist"/>
        <w:numPr>
          <w:ilvl w:val="0"/>
          <w:numId w:val="3"/>
        </w:numPr>
        <w:ind w:left="709"/>
        <w:jc w:val="both"/>
        <w:rPr>
          <w:b/>
        </w:rPr>
      </w:pPr>
      <w:r>
        <w:rPr>
          <w:b/>
        </w:rPr>
        <w:t>N</w:t>
      </w:r>
      <w:r w:rsidRPr="003A57D1">
        <w:rPr>
          <w:b/>
        </w:rPr>
        <w:t>a podstawie art. 304 kpk</w:t>
      </w:r>
      <w:r>
        <w:rPr>
          <w:b/>
        </w:rPr>
        <w:t xml:space="preserve"> - w związku z</w:t>
      </w:r>
      <w:r w:rsidR="00412DA2" w:rsidRPr="003A57D1">
        <w:rPr>
          <w:b/>
        </w:rPr>
        <w:t xml:space="preserve"> informacj</w:t>
      </w:r>
      <w:r>
        <w:rPr>
          <w:b/>
        </w:rPr>
        <w:t>ami</w:t>
      </w:r>
      <w:r w:rsidR="00412DA2" w:rsidRPr="003A57D1">
        <w:rPr>
          <w:b/>
        </w:rPr>
        <w:t xml:space="preserve"> ujawniony</w:t>
      </w:r>
      <w:r>
        <w:rPr>
          <w:b/>
        </w:rPr>
        <w:t>mi</w:t>
      </w:r>
      <w:r w:rsidR="00412DA2" w:rsidRPr="003A57D1">
        <w:rPr>
          <w:b/>
        </w:rPr>
        <w:t xml:space="preserve"> w</w:t>
      </w:r>
      <w:r w:rsidR="002F55E7" w:rsidRPr="003A57D1">
        <w:rPr>
          <w:b/>
        </w:rPr>
        <w:t> </w:t>
      </w:r>
      <w:r w:rsidR="00412DA2" w:rsidRPr="003A57D1">
        <w:rPr>
          <w:b/>
        </w:rPr>
        <w:t>toku rozprawy</w:t>
      </w:r>
      <w:r w:rsidR="001E4381" w:rsidRPr="003A57D1">
        <w:rPr>
          <w:b/>
        </w:rPr>
        <w:t xml:space="preserve"> </w:t>
      </w:r>
      <w:r>
        <w:rPr>
          <w:b/>
        </w:rPr>
        <w:t>-</w:t>
      </w:r>
      <w:r w:rsidR="001E4381" w:rsidRPr="003A57D1">
        <w:rPr>
          <w:b/>
        </w:rPr>
        <w:t>wnoszę o przekazanie odpowiednim organom informacji</w:t>
      </w:r>
      <w:r>
        <w:rPr>
          <w:b/>
        </w:rPr>
        <w:t xml:space="preserve"> o naruszeniach prawa</w:t>
      </w:r>
      <w:r w:rsidR="00412DA2" w:rsidRPr="003A57D1">
        <w:rPr>
          <w:b/>
        </w:rPr>
        <w:t xml:space="preserve"> </w:t>
      </w:r>
      <w:r w:rsidR="001E4381" w:rsidRPr="003A57D1">
        <w:rPr>
          <w:b/>
        </w:rPr>
        <w:t xml:space="preserve"> </w:t>
      </w:r>
      <w:r w:rsidR="00412DA2" w:rsidRPr="003A57D1">
        <w:rPr>
          <w:b/>
        </w:rPr>
        <w:t>(</w:t>
      </w:r>
      <w:r w:rsidR="001E4381" w:rsidRPr="003A57D1">
        <w:rPr>
          <w:b/>
        </w:rPr>
        <w:t xml:space="preserve">m.in. z art. 55 ust. 1 </w:t>
      </w:r>
      <w:r w:rsidR="00412DA2" w:rsidRPr="003A57D1">
        <w:rPr>
          <w:b/>
        </w:rPr>
        <w:t xml:space="preserve">i 2 </w:t>
      </w:r>
      <w:r w:rsidR="001E4381" w:rsidRPr="003A57D1">
        <w:rPr>
          <w:b/>
        </w:rPr>
        <w:t>Ustawy</w:t>
      </w:r>
      <w:r w:rsidR="00412DA2" w:rsidRPr="003A57D1">
        <w:rPr>
          <w:b/>
        </w:rPr>
        <w:t xml:space="preserve"> o ochronie sygnalistów)</w:t>
      </w:r>
      <w:r>
        <w:rPr>
          <w:b/>
        </w:rPr>
        <w:t xml:space="preserve"> w celu:</w:t>
      </w:r>
    </w:p>
    <w:p w:rsidR="003A57D1" w:rsidRPr="003A57D1" w:rsidRDefault="003A57D1" w:rsidP="003A57D1">
      <w:pPr>
        <w:pStyle w:val="Akapitzlist"/>
        <w:numPr>
          <w:ilvl w:val="1"/>
          <w:numId w:val="3"/>
        </w:numPr>
        <w:jc w:val="both"/>
        <w:rPr>
          <w:b/>
        </w:rPr>
      </w:pPr>
      <w:r w:rsidRPr="003A57D1">
        <w:rPr>
          <w:b/>
        </w:rPr>
        <w:t>wszczęcia postępowań wyjaśniających,</w:t>
      </w:r>
    </w:p>
    <w:p w:rsidR="003A57D1" w:rsidRPr="003A57D1" w:rsidRDefault="003A57D1" w:rsidP="003A57D1">
      <w:pPr>
        <w:pStyle w:val="Akapitzlist"/>
        <w:numPr>
          <w:ilvl w:val="1"/>
          <w:numId w:val="3"/>
        </w:numPr>
        <w:jc w:val="both"/>
        <w:rPr>
          <w:b/>
        </w:rPr>
      </w:pPr>
      <w:r w:rsidRPr="003A57D1">
        <w:rPr>
          <w:b/>
        </w:rPr>
        <w:t>wszczęcia kontroli,</w:t>
      </w:r>
    </w:p>
    <w:p w:rsidR="003A57D1" w:rsidRPr="003A57D1" w:rsidRDefault="003A57D1" w:rsidP="003A57D1">
      <w:pPr>
        <w:pStyle w:val="Akapitzlist"/>
        <w:numPr>
          <w:ilvl w:val="1"/>
          <w:numId w:val="3"/>
        </w:numPr>
        <w:jc w:val="both"/>
        <w:rPr>
          <w:b/>
        </w:rPr>
      </w:pPr>
      <w:r w:rsidRPr="003A57D1">
        <w:rPr>
          <w:b/>
        </w:rPr>
        <w:t>wszczęcia postępowań administracyjnych,</w:t>
      </w:r>
    </w:p>
    <w:p w:rsidR="003A57D1" w:rsidRPr="003A57D1" w:rsidRDefault="003A57D1" w:rsidP="003A57D1">
      <w:pPr>
        <w:pStyle w:val="Akapitzlist"/>
        <w:numPr>
          <w:ilvl w:val="1"/>
          <w:numId w:val="3"/>
        </w:numPr>
        <w:jc w:val="both"/>
        <w:rPr>
          <w:b/>
        </w:rPr>
      </w:pPr>
      <w:r w:rsidRPr="003A57D1">
        <w:rPr>
          <w:b/>
        </w:rPr>
        <w:t>wniesienia oskarżenia wobec sprawców działań odwetowych,</w:t>
      </w:r>
    </w:p>
    <w:p w:rsidR="003A57D1" w:rsidRPr="003A57D1" w:rsidRDefault="003A57D1" w:rsidP="003A57D1">
      <w:pPr>
        <w:pStyle w:val="Akapitzlist"/>
        <w:numPr>
          <w:ilvl w:val="1"/>
          <w:numId w:val="3"/>
        </w:numPr>
        <w:jc w:val="both"/>
        <w:rPr>
          <w:b/>
        </w:rPr>
      </w:pPr>
      <w:r w:rsidRPr="003A57D1">
        <w:rPr>
          <w:b/>
        </w:rPr>
        <w:t>wypłacenia należnych odszkodowań i zadośćuczynień.</w:t>
      </w:r>
    </w:p>
    <w:p w:rsidR="00AC081D" w:rsidRDefault="00AC081D" w:rsidP="00CA52CE">
      <w:pPr>
        <w:jc w:val="center"/>
        <w:rPr>
          <w:b/>
        </w:rPr>
      </w:pPr>
      <w:r>
        <w:rPr>
          <w:b/>
        </w:rPr>
        <w:t>UZASADNIENIE</w:t>
      </w:r>
    </w:p>
    <w:p w:rsidR="00C1070B" w:rsidRPr="00145BFD" w:rsidRDefault="00C1070B" w:rsidP="00C1070B">
      <w:pPr>
        <w:ind w:firstLine="709"/>
        <w:jc w:val="both"/>
        <w:rPr>
          <w:rFonts w:cstheme="minorHAnsi"/>
          <w:color w:val="000000" w:themeColor="text1"/>
        </w:rPr>
      </w:pPr>
      <w:r>
        <w:rPr>
          <w:rFonts w:cstheme="minorHAnsi"/>
          <w:color w:val="000000" w:themeColor="text1"/>
        </w:rPr>
        <w:t>Szymon Franciszek Fijał jest</w:t>
      </w:r>
      <w:r w:rsidRPr="00145BFD">
        <w:rPr>
          <w:rFonts w:cstheme="minorHAnsi"/>
          <w:color w:val="000000" w:themeColor="text1"/>
        </w:rPr>
        <w:t xml:space="preserve"> oficerem Wojska Polskiego w stopniu porucznika. Minister </w:t>
      </w:r>
      <w:r>
        <w:rPr>
          <w:rFonts w:cstheme="minorHAnsi"/>
          <w:color w:val="000000" w:themeColor="text1"/>
        </w:rPr>
        <w:t>Obrony Narodowej wypowiedział mu</w:t>
      </w:r>
      <w:r w:rsidRPr="00145BFD">
        <w:rPr>
          <w:rFonts w:cstheme="minorHAnsi"/>
          <w:color w:val="000000" w:themeColor="text1"/>
        </w:rPr>
        <w:t xml:space="preserve"> stosunek służbowy - </w:t>
      </w:r>
      <w:r>
        <w:rPr>
          <w:rFonts w:cstheme="minorHAnsi"/>
          <w:color w:val="000000" w:themeColor="text1"/>
        </w:rPr>
        <w:t>został</w:t>
      </w:r>
      <w:r w:rsidRPr="00145BFD">
        <w:rPr>
          <w:rFonts w:cstheme="minorHAnsi"/>
          <w:color w:val="000000" w:themeColor="text1"/>
        </w:rPr>
        <w:t xml:space="preserve"> zwolniony z </w:t>
      </w:r>
      <w:r>
        <w:rPr>
          <w:rFonts w:cstheme="minorHAnsi"/>
          <w:color w:val="000000" w:themeColor="text1"/>
        </w:rPr>
        <w:t>zawodowej służby wojskowej i </w:t>
      </w:r>
      <w:r w:rsidRPr="00145BFD">
        <w:rPr>
          <w:rFonts w:cstheme="minorHAnsi"/>
          <w:color w:val="000000" w:themeColor="text1"/>
        </w:rPr>
        <w:t xml:space="preserve">przeniesiony </w:t>
      </w:r>
      <w:r>
        <w:rPr>
          <w:rFonts w:cstheme="minorHAnsi"/>
          <w:color w:val="000000" w:themeColor="text1"/>
        </w:rPr>
        <w:t>do </w:t>
      </w:r>
      <w:r w:rsidRPr="00145BFD">
        <w:rPr>
          <w:rFonts w:cstheme="minorHAnsi"/>
          <w:color w:val="000000" w:themeColor="text1"/>
        </w:rPr>
        <w:t>rezerwy.</w:t>
      </w:r>
      <w:r>
        <w:rPr>
          <w:rFonts w:cstheme="minorHAnsi"/>
          <w:color w:val="000000" w:themeColor="text1"/>
        </w:rPr>
        <w:t xml:space="preserve"> Pełnił</w:t>
      </w:r>
      <w:r w:rsidRPr="00145BFD">
        <w:rPr>
          <w:rFonts w:cstheme="minorHAnsi"/>
          <w:color w:val="000000" w:themeColor="text1"/>
        </w:rPr>
        <w:t xml:space="preserve"> czynną służbę wojskową od </w:t>
      </w:r>
      <w:r>
        <w:rPr>
          <w:rFonts w:cstheme="minorHAnsi"/>
          <w:color w:val="000000" w:themeColor="text1"/>
        </w:rPr>
        <w:t>dnia 28 sierpnia 2012 roku do 6 </w:t>
      </w:r>
      <w:r w:rsidRPr="00145BFD">
        <w:rPr>
          <w:rFonts w:cstheme="minorHAnsi"/>
          <w:color w:val="000000" w:themeColor="text1"/>
        </w:rPr>
        <w:t>sierpnia 2017 roku jako podchorąży Wyższej Szkoł</w:t>
      </w:r>
      <w:r w:rsidR="00030C31">
        <w:rPr>
          <w:rFonts w:cstheme="minorHAnsi"/>
          <w:color w:val="000000" w:themeColor="text1"/>
        </w:rPr>
        <w:t>y Oficerskiej Wojsk Lądowych we </w:t>
      </w:r>
      <w:r w:rsidRPr="00145BFD">
        <w:rPr>
          <w:rFonts w:cstheme="minorHAnsi"/>
          <w:color w:val="000000" w:themeColor="text1"/>
        </w:rPr>
        <w:t>Wrocławiu, następni</w:t>
      </w:r>
      <w:r>
        <w:rPr>
          <w:rFonts w:cstheme="minorHAnsi"/>
          <w:color w:val="000000" w:themeColor="text1"/>
        </w:rPr>
        <w:t>e zawodową służbę wojskową od 7 </w:t>
      </w:r>
      <w:r w:rsidRPr="00145BFD">
        <w:rPr>
          <w:rFonts w:cstheme="minorHAnsi"/>
          <w:color w:val="000000" w:themeColor="text1"/>
        </w:rPr>
        <w:t>sierpnia 2017 roku do 31 marca 2022</w:t>
      </w:r>
      <w:r>
        <w:rPr>
          <w:rFonts w:cstheme="minorHAnsi"/>
          <w:color w:val="000000" w:themeColor="text1"/>
        </w:rPr>
        <w:t xml:space="preserve"> roku. W dniu, w którym został zwolniony zajmował</w:t>
      </w:r>
      <w:r w:rsidRPr="00145BFD">
        <w:rPr>
          <w:rFonts w:cstheme="minorHAnsi"/>
          <w:color w:val="000000" w:themeColor="text1"/>
        </w:rPr>
        <w:t xml:space="preserve"> stanowisk</w:t>
      </w:r>
      <w:r>
        <w:rPr>
          <w:rFonts w:cstheme="minorHAnsi"/>
          <w:color w:val="000000" w:themeColor="text1"/>
        </w:rPr>
        <w:t>o służbowe dowódcy kompanii w 3 </w:t>
      </w:r>
      <w:r w:rsidRPr="00145BFD">
        <w:rPr>
          <w:rFonts w:cstheme="minorHAnsi"/>
          <w:color w:val="000000" w:themeColor="text1"/>
        </w:rPr>
        <w:t>Podkarpackiej B</w:t>
      </w:r>
      <w:r>
        <w:rPr>
          <w:rFonts w:cstheme="minorHAnsi"/>
          <w:color w:val="000000" w:themeColor="text1"/>
        </w:rPr>
        <w:t>rygadzie Obrony Terytorialnej w </w:t>
      </w:r>
      <w:r w:rsidRPr="00145BFD">
        <w:rPr>
          <w:rFonts w:cstheme="minorHAnsi"/>
          <w:color w:val="000000" w:themeColor="text1"/>
        </w:rPr>
        <w:t xml:space="preserve">Rzeszowie (3PBOT). </w:t>
      </w:r>
      <w:r>
        <w:rPr>
          <w:rFonts w:cstheme="minorHAnsi"/>
          <w:color w:val="000000" w:themeColor="text1"/>
        </w:rPr>
        <w:t xml:space="preserve">Poświęcił się </w:t>
      </w:r>
      <w:r w:rsidRPr="00145BFD">
        <w:rPr>
          <w:rFonts w:cstheme="minorHAnsi"/>
          <w:color w:val="000000" w:themeColor="text1"/>
        </w:rPr>
        <w:t>ideom zawartym w Konstytucji Rzeczypospolitej Polskiej, w szczególności wolności i prawom człowieka. P</w:t>
      </w:r>
      <w:r>
        <w:rPr>
          <w:rFonts w:cstheme="minorHAnsi"/>
          <w:color w:val="000000" w:themeColor="text1"/>
        </w:rPr>
        <w:t>odczas epidemii Sars-Cov-2 był</w:t>
      </w:r>
      <w:r w:rsidRPr="00145BFD">
        <w:rPr>
          <w:rFonts w:cstheme="minorHAnsi"/>
          <w:color w:val="000000" w:themeColor="text1"/>
        </w:rPr>
        <w:t xml:space="preserve"> poddawany licznym naciskom w związku z pozbawionym podstawy prawnej nieformalnym przymuszaniem Żołnierzy</w:t>
      </w:r>
      <w:r w:rsidR="00030C31">
        <w:rPr>
          <w:rFonts w:cstheme="minorHAnsi"/>
          <w:color w:val="000000" w:themeColor="text1"/>
        </w:rPr>
        <w:t xml:space="preserve"> do przyjęcia preparatów mRNA i </w:t>
      </w:r>
      <w:r w:rsidRPr="00145BFD">
        <w:rPr>
          <w:rFonts w:cstheme="minorHAnsi"/>
          <w:color w:val="000000" w:themeColor="text1"/>
        </w:rPr>
        <w:t>wektorowych, spełniających definicję eksperymentu medycznego</w:t>
      </w:r>
      <w:r>
        <w:rPr>
          <w:rFonts w:cstheme="minorHAnsi"/>
          <w:color w:val="000000" w:themeColor="text1"/>
        </w:rPr>
        <w:t xml:space="preserve"> (art. 39 Konstytucji RP)</w:t>
      </w:r>
      <w:r w:rsidRPr="00145BFD">
        <w:rPr>
          <w:rFonts w:cstheme="minorHAnsi"/>
          <w:color w:val="000000" w:themeColor="text1"/>
        </w:rPr>
        <w:t xml:space="preserve">. </w:t>
      </w:r>
      <w:r w:rsidR="00030C31">
        <w:rPr>
          <w:rFonts w:cstheme="minorHAnsi"/>
          <w:color w:val="000000" w:themeColor="text1"/>
        </w:rPr>
        <w:lastRenderedPageBreak/>
        <w:t>2 </w:t>
      </w:r>
      <w:r w:rsidRPr="00145BFD">
        <w:rPr>
          <w:rFonts w:cstheme="minorHAnsi"/>
          <w:color w:val="000000" w:themeColor="text1"/>
        </w:rPr>
        <w:t xml:space="preserve">lipca 2021 roku, po otrzymaniu rozkazu naruszającego prawo, </w:t>
      </w:r>
      <w:r>
        <w:rPr>
          <w:rFonts w:cstheme="minorHAnsi"/>
          <w:color w:val="000000" w:themeColor="text1"/>
        </w:rPr>
        <w:t>złożył</w:t>
      </w:r>
      <w:r w:rsidRPr="00145BFD">
        <w:rPr>
          <w:rFonts w:cstheme="minorHAnsi"/>
          <w:color w:val="000000" w:themeColor="text1"/>
        </w:rPr>
        <w:t xml:space="preserve"> meldunek do wyższego przełożonego o przekroczeniu uprawnień przez dowódcę 3PBOT </w:t>
      </w:r>
      <w:r w:rsidRPr="00145BFD">
        <w:rPr>
          <w:rFonts w:cstheme="minorHAnsi"/>
          <w:b/>
          <w:color w:val="000000" w:themeColor="text1"/>
        </w:rPr>
        <w:t>(zgłoszenie wewnętrzne)</w:t>
      </w:r>
      <w:r w:rsidRPr="00145BFD">
        <w:rPr>
          <w:rFonts w:cstheme="minorHAnsi"/>
          <w:color w:val="000000" w:themeColor="text1"/>
        </w:rPr>
        <w:t>. 14</w:t>
      </w:r>
      <w:r>
        <w:rPr>
          <w:rFonts w:cstheme="minorHAnsi"/>
          <w:color w:val="000000" w:themeColor="text1"/>
        </w:rPr>
        <w:t> </w:t>
      </w:r>
      <w:r w:rsidRPr="00145BFD">
        <w:rPr>
          <w:rFonts w:cstheme="minorHAnsi"/>
          <w:color w:val="000000" w:themeColor="text1"/>
        </w:rPr>
        <w:t xml:space="preserve">lipca 2021 roku </w:t>
      </w:r>
      <w:r>
        <w:rPr>
          <w:rFonts w:cstheme="minorHAnsi"/>
          <w:color w:val="000000" w:themeColor="text1"/>
        </w:rPr>
        <w:t>złożył</w:t>
      </w:r>
      <w:r w:rsidRPr="00145BFD">
        <w:rPr>
          <w:rFonts w:cstheme="minorHAnsi"/>
          <w:color w:val="000000" w:themeColor="text1"/>
        </w:rPr>
        <w:t xml:space="preserve"> zawiadomienie o możliwo</w:t>
      </w:r>
      <w:r>
        <w:rPr>
          <w:rFonts w:cstheme="minorHAnsi"/>
          <w:color w:val="000000" w:themeColor="text1"/>
        </w:rPr>
        <w:t>ści popełnienia przestępstwa do </w:t>
      </w:r>
      <w:r w:rsidRPr="00145BFD">
        <w:rPr>
          <w:rFonts w:cstheme="minorHAnsi"/>
          <w:color w:val="000000" w:themeColor="text1"/>
        </w:rPr>
        <w:t xml:space="preserve">Prokuratury Okręgowej w Warszawie </w:t>
      </w:r>
      <w:r w:rsidRPr="00145BFD">
        <w:rPr>
          <w:rFonts w:cstheme="minorHAnsi"/>
          <w:b/>
          <w:color w:val="000000" w:themeColor="text1"/>
        </w:rPr>
        <w:t>(zgłoszenie zewnętrzne)</w:t>
      </w:r>
      <w:r w:rsidRPr="00145BFD">
        <w:rPr>
          <w:rFonts w:cstheme="minorHAnsi"/>
          <w:color w:val="000000" w:themeColor="text1"/>
        </w:rPr>
        <w:t xml:space="preserve"> - odmówiono wszczęcia śledztwa. 27 lipca 2021 roku - przebywając na dniu wolnym od służby - </w:t>
      </w:r>
      <w:r>
        <w:rPr>
          <w:rFonts w:cstheme="minorHAnsi"/>
          <w:color w:val="000000" w:themeColor="text1"/>
        </w:rPr>
        <w:t>zabrał</w:t>
      </w:r>
      <w:r w:rsidRPr="00145BFD">
        <w:rPr>
          <w:rFonts w:cstheme="minorHAnsi"/>
          <w:color w:val="000000" w:themeColor="text1"/>
        </w:rPr>
        <w:t xml:space="preserve"> głos podczas posiedzenia Parlamentarnego Zespołu ds. Bezpieczeństwa Szczepień Dzieci i Dorosłych, przedstawiając wybraną dokumentację jawną </w:t>
      </w:r>
      <w:r w:rsidRPr="00145BFD">
        <w:rPr>
          <w:rFonts w:cstheme="minorHAnsi"/>
          <w:b/>
          <w:color w:val="000000" w:themeColor="text1"/>
        </w:rPr>
        <w:t>(ujawnienie publiczne)</w:t>
      </w:r>
      <w:r w:rsidRPr="00145BFD">
        <w:rPr>
          <w:rFonts w:cstheme="minorHAnsi"/>
          <w:color w:val="000000" w:themeColor="text1"/>
        </w:rPr>
        <w:t>.  Kolizja działań przełożonych z zasadą prawo</w:t>
      </w:r>
      <w:r>
        <w:rPr>
          <w:rFonts w:cstheme="minorHAnsi"/>
          <w:color w:val="000000" w:themeColor="text1"/>
        </w:rPr>
        <w:t>rządności (art. 7 Konstytucji),</w:t>
      </w:r>
      <w:r w:rsidRPr="00145BFD">
        <w:rPr>
          <w:rFonts w:cstheme="minorHAnsi"/>
          <w:color w:val="000000" w:themeColor="text1"/>
        </w:rPr>
        <w:t xml:space="preserve"> </w:t>
      </w:r>
      <w:r w:rsidR="00423F74">
        <w:rPr>
          <w:rFonts w:cstheme="minorHAnsi"/>
          <w:color w:val="000000" w:themeColor="text1"/>
        </w:rPr>
        <w:t xml:space="preserve">z </w:t>
      </w:r>
      <w:r w:rsidRPr="00145BFD">
        <w:rPr>
          <w:rFonts w:cstheme="minorHAnsi"/>
          <w:color w:val="000000" w:themeColor="text1"/>
        </w:rPr>
        <w:t xml:space="preserve">wiernością </w:t>
      </w:r>
      <w:r w:rsidR="00423F74">
        <w:rPr>
          <w:rFonts w:cstheme="minorHAnsi"/>
          <w:color w:val="000000" w:themeColor="text1"/>
        </w:rPr>
        <w:t>Ro</w:t>
      </w:r>
      <w:r w:rsidR="00030C31">
        <w:rPr>
          <w:rFonts w:cstheme="minorHAnsi"/>
          <w:color w:val="000000" w:themeColor="text1"/>
        </w:rPr>
        <w:t>cie</w:t>
      </w:r>
      <w:r w:rsidRPr="00145BFD">
        <w:rPr>
          <w:rFonts w:cstheme="minorHAnsi"/>
          <w:color w:val="000000" w:themeColor="text1"/>
        </w:rPr>
        <w:t xml:space="preserve"> Przysięgi Wojskowe</w:t>
      </w:r>
      <w:r>
        <w:rPr>
          <w:rFonts w:cstheme="minorHAnsi"/>
          <w:color w:val="000000" w:themeColor="text1"/>
        </w:rPr>
        <w:t>j</w:t>
      </w:r>
      <w:r w:rsidR="00423F74">
        <w:rPr>
          <w:rFonts w:cstheme="minorHAnsi"/>
          <w:color w:val="000000" w:themeColor="text1"/>
        </w:rPr>
        <w:t xml:space="preserve"> - w związku z</w:t>
      </w:r>
      <w:r w:rsidR="00030C31">
        <w:rPr>
          <w:rFonts w:cstheme="minorHAnsi"/>
          <w:color w:val="000000" w:themeColor="text1"/>
        </w:rPr>
        <w:t> </w:t>
      </w:r>
      <w:r w:rsidR="00423F74">
        <w:rPr>
          <w:rFonts w:cstheme="minorHAnsi"/>
          <w:color w:val="000000" w:themeColor="text1"/>
        </w:rPr>
        <w:t xml:space="preserve">sygnalizowanymi przez </w:t>
      </w:r>
      <w:r w:rsidR="00030C31">
        <w:rPr>
          <w:rFonts w:cstheme="minorHAnsi"/>
          <w:color w:val="000000" w:themeColor="text1"/>
        </w:rPr>
        <w:t>por. rez. Szymona Fijała</w:t>
      </w:r>
      <w:r w:rsidR="00423F74">
        <w:rPr>
          <w:rFonts w:cstheme="minorHAnsi"/>
          <w:color w:val="000000" w:themeColor="text1"/>
        </w:rPr>
        <w:t xml:space="preserve"> naruszeniami prawa - poskutkowała</w:t>
      </w:r>
      <w:r w:rsidRPr="00145BFD">
        <w:rPr>
          <w:rFonts w:cstheme="minorHAnsi"/>
          <w:color w:val="000000" w:themeColor="text1"/>
        </w:rPr>
        <w:t xml:space="preserve"> działaniami odwetowymi</w:t>
      </w:r>
      <w:r w:rsidR="00030C31">
        <w:rPr>
          <w:rFonts w:cstheme="minorHAnsi"/>
          <w:color w:val="000000" w:themeColor="text1"/>
        </w:rPr>
        <w:t>.</w:t>
      </w:r>
    </w:p>
    <w:p w:rsidR="00C1070B" w:rsidRPr="00AC081D" w:rsidRDefault="00C1070B" w:rsidP="00C1070B">
      <w:pPr>
        <w:ind w:firstLine="709"/>
        <w:jc w:val="both"/>
        <w:rPr>
          <w:rFonts w:cstheme="minorHAnsi"/>
          <w:color w:val="000000" w:themeColor="text1"/>
          <w:u w:val="single"/>
        </w:rPr>
      </w:pPr>
      <w:r w:rsidRPr="00AC081D">
        <w:rPr>
          <w:rFonts w:cstheme="minorHAnsi"/>
          <w:color w:val="000000" w:themeColor="text1"/>
        </w:rPr>
        <w:t>Od czasu ujawnienia publicznego</w:t>
      </w:r>
      <w:r w:rsidR="00423F74" w:rsidRPr="00AC081D">
        <w:rPr>
          <w:rFonts w:cstheme="minorHAnsi"/>
          <w:color w:val="000000" w:themeColor="text1"/>
        </w:rPr>
        <w:t xml:space="preserve"> naruszeń prawa </w:t>
      </w:r>
      <w:r w:rsidR="00423F74" w:rsidRPr="00AC081D">
        <w:rPr>
          <w:rFonts w:cstheme="minorHAnsi"/>
          <w:color w:val="000000" w:themeColor="text1"/>
          <w:u w:val="single"/>
        </w:rPr>
        <w:t>jego</w:t>
      </w:r>
      <w:r w:rsidRPr="00AC081D">
        <w:rPr>
          <w:rFonts w:cstheme="minorHAnsi"/>
          <w:color w:val="000000" w:themeColor="text1"/>
          <w:u w:val="single"/>
        </w:rPr>
        <w:t xml:space="preserve"> działania zostały podparte Uchwałą Siedmiu Sędziów Sądu Najwyższego z dnia 26 kwietnia 2023 r. w sprawie o sygn. III PZP 6/22 - która stanowi obowiązującą normę prawną. Weszła również w życie Ustawa o ochronie sygnalistów, która dodatkowo wzmacnia zapisy Dyrektywy Parlamentu Europejskiego i Rady UE 2019/1937 z dnia 23 października 2019 r. w sprawie ochrony osób zgłaszających naruszenia prawa Unii.</w:t>
      </w:r>
    </w:p>
    <w:p w:rsidR="00C1070B" w:rsidRPr="00AC081D" w:rsidRDefault="00C1070B" w:rsidP="00C1070B">
      <w:pPr>
        <w:ind w:firstLine="709"/>
        <w:jc w:val="both"/>
        <w:rPr>
          <w:rStyle w:val="Pogrubienie"/>
          <w:rFonts w:cstheme="minorHAnsi"/>
          <w:b w:val="0"/>
          <w:bCs w:val="0"/>
          <w:color w:val="000000" w:themeColor="text1"/>
          <w:u w:val="single"/>
        </w:rPr>
      </w:pPr>
      <w:r w:rsidRPr="00AC081D">
        <w:rPr>
          <w:rFonts w:cstheme="minorHAnsi"/>
          <w:color w:val="000000" w:themeColor="text1"/>
        </w:rPr>
        <w:t xml:space="preserve">Wobec </w:t>
      </w:r>
      <w:r w:rsidR="00423F74" w:rsidRPr="00AC081D">
        <w:rPr>
          <w:rFonts w:cstheme="minorHAnsi"/>
          <w:color w:val="000000" w:themeColor="text1"/>
        </w:rPr>
        <w:t>niego</w:t>
      </w:r>
      <w:r w:rsidRPr="00AC081D">
        <w:rPr>
          <w:rFonts w:cstheme="minorHAnsi"/>
          <w:color w:val="000000" w:themeColor="text1"/>
        </w:rPr>
        <w:t xml:space="preserve"> zastosowano szereg nielegalnych działań odwetowych, które poskutkowały m.in. postępowaniami sądowymi</w:t>
      </w:r>
      <w:r w:rsidR="00423F74" w:rsidRPr="00AC081D">
        <w:rPr>
          <w:rFonts w:cstheme="minorHAnsi"/>
          <w:color w:val="000000" w:themeColor="text1"/>
        </w:rPr>
        <w:t xml:space="preserve"> (art. 16 ust. 1 i 3 Ustawy z dnia 14 czerwca 2024 r. o ochronie sygnalistów)</w:t>
      </w:r>
      <w:r w:rsidRPr="00AC081D">
        <w:rPr>
          <w:rFonts w:cstheme="minorHAnsi"/>
          <w:color w:val="000000" w:themeColor="text1"/>
        </w:rPr>
        <w:t>:</w:t>
      </w:r>
    </w:p>
    <w:p w:rsidR="00C1070B" w:rsidRPr="00AC081D" w:rsidRDefault="00C1070B" w:rsidP="00C1070B">
      <w:pPr>
        <w:pStyle w:val="Akapitzlist"/>
        <w:numPr>
          <w:ilvl w:val="1"/>
          <w:numId w:val="2"/>
        </w:numPr>
        <w:ind w:left="1069"/>
        <w:jc w:val="both"/>
        <w:rPr>
          <w:rStyle w:val="Pogrubienie"/>
          <w:rFonts w:cstheme="minorHAnsi"/>
          <w:b w:val="0"/>
          <w:color w:val="000000" w:themeColor="text1"/>
          <w:shd w:val="clear" w:color="auto" w:fill="FFFFFF"/>
        </w:rPr>
      </w:pPr>
      <w:r w:rsidRPr="00AC081D">
        <w:rPr>
          <w:rStyle w:val="Pogrubienie"/>
          <w:rFonts w:cstheme="minorHAnsi"/>
          <w:b w:val="0"/>
          <w:color w:val="000000" w:themeColor="text1"/>
          <w:shd w:val="clear" w:color="auto" w:fill="FFFFFF"/>
        </w:rPr>
        <w:t>śledztwo Służby Kontrwywiadu Wojskowego, Prokuratury Okręgowej w Warszawie, Agencji Bezpieczeństwa Wewnętrznego sygn. akt: 3041-8.Ds.152.2022;</w:t>
      </w:r>
    </w:p>
    <w:p w:rsidR="00C1070B" w:rsidRPr="00AC081D" w:rsidRDefault="00C1070B" w:rsidP="00C1070B">
      <w:pPr>
        <w:pStyle w:val="Akapitzlist"/>
        <w:numPr>
          <w:ilvl w:val="1"/>
          <w:numId w:val="2"/>
        </w:numPr>
        <w:ind w:left="1069"/>
        <w:jc w:val="both"/>
        <w:rPr>
          <w:rStyle w:val="Pogrubienie"/>
          <w:rFonts w:cstheme="minorHAnsi"/>
          <w:b w:val="0"/>
          <w:color w:val="000000" w:themeColor="text1"/>
          <w:shd w:val="clear" w:color="auto" w:fill="FFFFFF"/>
        </w:rPr>
      </w:pPr>
      <w:r w:rsidRPr="00AC081D">
        <w:rPr>
          <w:rStyle w:val="Pogrubienie"/>
          <w:rFonts w:cstheme="minorHAnsi"/>
          <w:b w:val="0"/>
          <w:color w:val="000000" w:themeColor="text1"/>
          <w:shd w:val="clear" w:color="auto" w:fill="FFFFFF"/>
        </w:rPr>
        <w:t>sprawa o wykroczenie - po sprzeciwie od wyroku nakazowego, orzekającego przepadek munduru Wojska Polskiego;</w:t>
      </w:r>
      <w:r w:rsidRPr="00AC081D">
        <w:rPr>
          <w:rStyle w:val="Pogrubienie"/>
          <w:rFonts w:cstheme="minorHAnsi"/>
          <w:b w:val="0"/>
          <w:color w:val="000000" w:themeColor="text1"/>
          <w:u w:val="single"/>
          <w:shd w:val="clear" w:color="auto" w:fill="FFFFFF"/>
        </w:rPr>
        <w:t xml:space="preserve"> najbliższy termin rozprawy: 28 listopada 2024 roku w Sądzie Rejonowym Lublin-Zachód w Lublinie</w:t>
      </w:r>
      <w:r w:rsidR="00207EE4">
        <w:rPr>
          <w:rStyle w:val="Pogrubienie"/>
          <w:rFonts w:cstheme="minorHAnsi"/>
          <w:b w:val="0"/>
          <w:color w:val="000000" w:themeColor="text1"/>
          <w:shd w:val="clear" w:color="auto" w:fill="FFFFFF"/>
        </w:rPr>
        <w:t>, godz. 13:00 - sygn. akt: IV </w:t>
      </w:r>
      <w:r w:rsidRPr="00AC081D">
        <w:rPr>
          <w:rStyle w:val="Pogrubienie"/>
          <w:rFonts w:cstheme="minorHAnsi"/>
          <w:b w:val="0"/>
          <w:color w:val="000000" w:themeColor="text1"/>
          <w:shd w:val="clear" w:color="auto" w:fill="FFFFFF"/>
        </w:rPr>
        <w:t>W 520/24;</w:t>
      </w:r>
    </w:p>
    <w:p w:rsidR="00C1070B" w:rsidRPr="00AC081D" w:rsidRDefault="00C1070B" w:rsidP="00C1070B">
      <w:pPr>
        <w:pStyle w:val="Akapitzlist"/>
        <w:numPr>
          <w:ilvl w:val="1"/>
          <w:numId w:val="2"/>
        </w:numPr>
        <w:ind w:left="1069"/>
        <w:jc w:val="both"/>
        <w:rPr>
          <w:rStyle w:val="Pogrubienie"/>
          <w:rFonts w:cstheme="minorHAnsi"/>
          <w:b w:val="0"/>
          <w:color w:val="000000" w:themeColor="text1"/>
          <w:shd w:val="clear" w:color="auto" w:fill="FFFFFF"/>
        </w:rPr>
      </w:pPr>
      <w:r w:rsidRPr="00AC081D">
        <w:rPr>
          <w:rStyle w:val="Pogrubienie"/>
          <w:rFonts w:cstheme="minorHAnsi"/>
          <w:b w:val="0"/>
          <w:color w:val="000000" w:themeColor="text1"/>
          <w:shd w:val="clear" w:color="auto" w:fill="FFFFFF"/>
        </w:rPr>
        <w:t xml:space="preserve">sprawa karna - po apelacji prokuratora po uniewinnieniu w pierwszej instancji z powodu braku jakichkolwiek dowodów winy; </w:t>
      </w:r>
      <w:r w:rsidRPr="00AC081D">
        <w:rPr>
          <w:rStyle w:val="Pogrubienie"/>
          <w:rFonts w:cstheme="minorHAnsi"/>
          <w:b w:val="0"/>
          <w:color w:val="000000" w:themeColor="text1"/>
          <w:u w:val="single"/>
          <w:shd w:val="clear" w:color="auto" w:fill="FFFFFF"/>
        </w:rPr>
        <w:t>najbliższy termin rozprawy: 2 grudnia 2024 roku w Wojskowym Sądzie Okręgowym w Warszawie</w:t>
      </w:r>
      <w:r w:rsidRPr="00AC081D">
        <w:rPr>
          <w:rStyle w:val="Pogrubienie"/>
          <w:rFonts w:cstheme="minorHAnsi"/>
          <w:b w:val="0"/>
          <w:color w:val="000000" w:themeColor="text1"/>
          <w:shd w:val="clear" w:color="auto" w:fill="FFFFFF"/>
        </w:rPr>
        <w:t xml:space="preserve"> godz. 10:30 - sygn. akt: SA 35/24 w sprawie o sygn. akt Sg 1/23 (WSGar w Lublinie).</w:t>
      </w:r>
    </w:p>
    <w:p w:rsidR="00C1070B" w:rsidRPr="00AC081D" w:rsidRDefault="00C1070B" w:rsidP="00C1070B">
      <w:pPr>
        <w:pStyle w:val="Akapitzlist"/>
        <w:numPr>
          <w:ilvl w:val="1"/>
          <w:numId w:val="2"/>
        </w:numPr>
        <w:ind w:left="1069"/>
        <w:jc w:val="both"/>
        <w:rPr>
          <w:rStyle w:val="Pogrubienie"/>
          <w:rFonts w:cstheme="minorHAnsi"/>
          <w:b w:val="0"/>
          <w:color w:val="000000" w:themeColor="text1"/>
          <w:shd w:val="clear" w:color="auto" w:fill="FFFFFF"/>
        </w:rPr>
      </w:pPr>
      <w:r w:rsidRPr="00AC081D">
        <w:rPr>
          <w:rStyle w:val="Pogrubienie"/>
          <w:rFonts w:cstheme="minorHAnsi"/>
          <w:b w:val="0"/>
          <w:color w:val="000000" w:themeColor="text1"/>
          <w:shd w:val="clear" w:color="auto" w:fill="FFFFFF"/>
        </w:rPr>
        <w:t>sprawa administracyjna (obecna sygn. akt: II SA/Wa 1040/24);</w:t>
      </w:r>
    </w:p>
    <w:p w:rsidR="00423F74" w:rsidRDefault="00C1070B" w:rsidP="00C1070B">
      <w:pPr>
        <w:pStyle w:val="Akapitzlist"/>
        <w:ind w:left="1069"/>
        <w:jc w:val="both"/>
        <w:rPr>
          <w:rStyle w:val="Pogrubienie"/>
          <w:rFonts w:cstheme="minorHAnsi"/>
          <w:b w:val="0"/>
          <w:color w:val="000000" w:themeColor="text1"/>
          <w:shd w:val="clear" w:color="auto" w:fill="FFFFFF"/>
        </w:rPr>
      </w:pPr>
      <w:r w:rsidRPr="00AC081D">
        <w:rPr>
          <w:rStyle w:val="Pogrubienie"/>
          <w:rFonts w:cstheme="minorHAnsi"/>
          <w:b w:val="0"/>
          <w:color w:val="000000" w:themeColor="text1"/>
          <w:shd w:val="clear" w:color="auto" w:fill="FFFFFF"/>
        </w:rPr>
        <w:t>Skarga na decyzję Ministra Obrony Narodowej w sprawie zwolnienia i przeniesienia do rezerwy</w:t>
      </w:r>
      <w:r w:rsidR="00847B4D">
        <w:rPr>
          <w:rStyle w:val="Pogrubienie"/>
          <w:rFonts w:cstheme="minorHAnsi"/>
          <w:b w:val="0"/>
          <w:color w:val="000000" w:themeColor="text1"/>
          <w:shd w:val="clear" w:color="auto" w:fill="FFFFFF"/>
        </w:rPr>
        <w:t>.</w:t>
      </w:r>
    </w:p>
    <w:p w:rsidR="00847B4D" w:rsidRDefault="00847B4D" w:rsidP="00847B4D">
      <w:pPr>
        <w:ind w:firstLine="709"/>
        <w:jc w:val="both"/>
        <w:rPr>
          <w:rFonts w:cstheme="minorHAnsi"/>
          <w:color w:val="000000" w:themeColor="text1"/>
        </w:rPr>
      </w:pPr>
      <w:r w:rsidRPr="00847B4D">
        <w:rPr>
          <w:rFonts w:cstheme="minorHAnsi"/>
          <w:color w:val="000000" w:themeColor="text1"/>
        </w:rPr>
        <w:t>Sygnalizowanie przez pracownika sektora publiczne</w:t>
      </w:r>
      <w:r>
        <w:rPr>
          <w:rFonts w:cstheme="minorHAnsi"/>
          <w:color w:val="000000" w:themeColor="text1"/>
        </w:rPr>
        <w:t>go nielegalnego zachowania albo </w:t>
      </w:r>
      <w:r w:rsidRPr="00847B4D">
        <w:rPr>
          <w:rFonts w:cstheme="minorHAnsi"/>
          <w:color w:val="000000" w:themeColor="text1"/>
        </w:rPr>
        <w:t>przestępstwa w miejscu pracy jest objęte ochroną wynikającą z prawa krajowego</w:t>
      </w:r>
      <w:r>
        <w:rPr>
          <w:rFonts w:cstheme="minorHAnsi"/>
          <w:color w:val="000000" w:themeColor="text1"/>
        </w:rPr>
        <w:t>, jak i </w:t>
      </w:r>
      <w:r w:rsidRPr="00847B4D">
        <w:rPr>
          <w:rFonts w:cstheme="minorHAnsi"/>
          <w:color w:val="000000" w:themeColor="text1"/>
        </w:rPr>
        <w:t xml:space="preserve">wspólnotowego. </w:t>
      </w:r>
      <w:r>
        <w:rPr>
          <w:rFonts w:cstheme="minorHAnsi"/>
          <w:color w:val="000000" w:themeColor="text1"/>
        </w:rPr>
        <w:t>Po</w:t>
      </w:r>
      <w:r w:rsidRPr="00847B4D">
        <w:rPr>
          <w:rFonts w:cstheme="minorHAnsi"/>
          <w:color w:val="000000" w:themeColor="text1"/>
        </w:rPr>
        <w:t xml:space="preserve"> zasygnalizowaniu naruszeń prawa </w:t>
      </w:r>
      <w:r>
        <w:rPr>
          <w:rFonts w:cstheme="minorHAnsi"/>
          <w:color w:val="000000" w:themeColor="text1"/>
        </w:rPr>
        <w:t xml:space="preserve">opinii publicznej por. rez. Szymon Fijał </w:t>
      </w:r>
      <w:r w:rsidRPr="00847B4D">
        <w:rPr>
          <w:rFonts w:cstheme="minorHAnsi"/>
          <w:color w:val="000000" w:themeColor="text1"/>
        </w:rPr>
        <w:t>do</w:t>
      </w:r>
      <w:r>
        <w:rPr>
          <w:rFonts w:cstheme="minorHAnsi"/>
          <w:color w:val="000000" w:themeColor="text1"/>
        </w:rPr>
        <w:t>znaje ciągłych działań odwetowych.</w:t>
      </w:r>
    </w:p>
    <w:p w:rsidR="0024253D" w:rsidRDefault="0024253D" w:rsidP="0024253D">
      <w:pPr>
        <w:ind w:firstLine="709"/>
        <w:jc w:val="both"/>
      </w:pPr>
      <w:r>
        <w:t xml:space="preserve">Skoro Sądy są miejscem rozwiązywania sporów prawnych oraz rozstrzygają o winie lub niewinności, to </w:t>
      </w:r>
      <w:r w:rsidRPr="00AC081D">
        <w:rPr>
          <w:b/>
        </w:rPr>
        <w:t>powinny pozostawać pod publiczną kontrolą</w:t>
      </w:r>
      <w:r>
        <w:t>, tak jak inne instytucje publiczne. Jednocześnie, nawiązując do swojego prestiżu społecznego, powinny postępować tak, by nie narażać się na krytykę. Należy odróżnić krytykę od zniewagi sędziów i obrazy sądu. Sędziowie wykonują zawód zaufania publicznego i muszą być chronieni przez bezpodstawnymi oskarżeniami.</w:t>
      </w:r>
    </w:p>
    <w:p w:rsidR="0024253D" w:rsidRDefault="0024253D" w:rsidP="0024253D">
      <w:pPr>
        <w:ind w:firstLine="709"/>
        <w:jc w:val="both"/>
      </w:pPr>
      <w:r>
        <w:lastRenderedPageBreak/>
        <w:t xml:space="preserve">Konstytucja wyznacza granice dla reprezentantów </w:t>
      </w:r>
      <w:r w:rsidR="00423F74">
        <w:t>N</w:t>
      </w:r>
      <w:r>
        <w:t xml:space="preserve">arodu dzierżących władzę ustawodawczą. Dzięki sprawowaniu funkcji kontrolnej przez sądy, suweren ma gwarancję, że czynności podejmowane w jego imieniu przez jego przedstawicieli zasiadających w organach władzy ustawodawczej i wykonawczej, są wykonywane w sposób zgodny z Konstytucją. Sądy – działając w imieniu i interesie suwerena na podstawie legitymacji konstytucyjnej - mają obowiązek hamować działania ustawodawcze parlamentu, które prowadzą do naruszenia praw podstawowych gwarantowanych przez Konstytucję. Ich rola rośnie, gdy władza polityczna jest zainteresowana tym, by akty przez nią stanowione nie podlegały weryfikacji przez jakikolwiek niezależny i niefasadowy organ państwa (fragment UCHWAŁY składu siedmiu sędziów Sądu Najwyższego z dnia 26 kwietnia 2023 r. w sprawie o sygn. akt </w:t>
      </w:r>
      <w:r w:rsidRPr="0024253D">
        <w:t>III PZP 6/22</w:t>
      </w:r>
      <w:r>
        <w:t xml:space="preserve"> - str. 12</w:t>
      </w:r>
      <w:r w:rsidR="00C1070B">
        <w:t>, ust. 6</w:t>
      </w:r>
      <w:r>
        <w:t>).</w:t>
      </w:r>
    </w:p>
    <w:p w:rsidR="009470BA" w:rsidRDefault="00A54A88" w:rsidP="00CA52CE">
      <w:pPr>
        <w:ind w:firstLine="709"/>
        <w:jc w:val="both"/>
      </w:pPr>
      <w:r>
        <w:t xml:space="preserve">Niedopełnienie tych obowiązków jest działaniem na szkodę Naszego (Polaków) Dobra Wspólnego - Rzeczypospolitej Polskiej. </w:t>
      </w:r>
      <w:r w:rsidR="00CA52CE" w:rsidRPr="00CA52CE">
        <w:t>Naród sprawuje władzę przez swoich przedstawicieli lub bezpośrednio.</w:t>
      </w:r>
      <w:r>
        <w:t xml:space="preserve"> </w:t>
      </w:r>
      <w:r w:rsidR="00C1070B">
        <w:t>W trosce o Dobro Wspólne (art. 1 i 82 Konstytucji RP) w</w:t>
      </w:r>
      <w:r w:rsidR="009470BA">
        <w:t xml:space="preserve">zywam do działania zgodnego z prawem i </w:t>
      </w:r>
      <w:r w:rsidR="00423F74">
        <w:t>powstrzymania</w:t>
      </w:r>
      <w:r w:rsidR="009470BA">
        <w:t xml:space="preserve"> dalszych jego naruszeń.</w:t>
      </w:r>
    </w:p>
    <w:p w:rsidR="00423F74" w:rsidRPr="00095F5E" w:rsidRDefault="00095F5E" w:rsidP="00095F5E">
      <w:pPr>
        <w:ind w:firstLine="709"/>
        <w:jc w:val="both"/>
        <w:rPr>
          <w:b/>
        </w:rPr>
      </w:pPr>
      <w:r>
        <w:t>Zgodnie z zasadą wyrażoną w art. 178 ust. 1 Konstytucji</w:t>
      </w:r>
      <w:r w:rsidR="003E1B02">
        <w:t>, która stanowi, że Sędziowie w </w:t>
      </w:r>
      <w:r>
        <w:t xml:space="preserve">sprawowaniu swojego urzędu są niezawiśli i podlegają tylko Konstytucji oraz ustawom, </w:t>
      </w:r>
      <w:r w:rsidR="00AC081D" w:rsidRPr="00AC081D">
        <w:t>wnoszę jak na wstępie.</w:t>
      </w:r>
    </w:p>
    <w:p w:rsidR="00692AC5" w:rsidRDefault="00692AC5" w:rsidP="00332156"/>
    <w:p w:rsidR="00CA52CE" w:rsidRPr="00692AC5" w:rsidRDefault="00CA52CE" w:rsidP="00692AC5">
      <w:pPr>
        <w:ind w:left="3261"/>
        <w:rPr>
          <w:sz w:val="14"/>
        </w:rPr>
      </w:pPr>
      <w:r>
        <w:t>Z poważaniem - .....................................................................</w:t>
      </w:r>
      <w:r>
        <w:br/>
      </w:r>
      <w:r w:rsidR="00692AC5">
        <w:rPr>
          <w:sz w:val="14"/>
        </w:rPr>
        <w:tab/>
      </w:r>
      <w:r w:rsidR="00692AC5">
        <w:rPr>
          <w:sz w:val="14"/>
        </w:rPr>
        <w:tab/>
      </w:r>
      <w:r w:rsidR="00692AC5">
        <w:rPr>
          <w:sz w:val="14"/>
        </w:rPr>
        <w:tab/>
      </w:r>
      <w:r w:rsidR="00692AC5">
        <w:rPr>
          <w:sz w:val="14"/>
        </w:rPr>
        <w:tab/>
      </w:r>
      <w:r w:rsidRPr="00692AC5">
        <w:rPr>
          <w:sz w:val="14"/>
        </w:rPr>
        <w:t>(podpis czytelny)</w:t>
      </w:r>
    </w:p>
    <w:p w:rsidR="00AC081D" w:rsidRDefault="00AC081D" w:rsidP="003A054F">
      <w:pPr>
        <w:jc w:val="both"/>
        <w:rPr>
          <w:b/>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847B4D" w:rsidRDefault="00847B4D" w:rsidP="003A054F">
      <w:pPr>
        <w:jc w:val="both"/>
        <w:rPr>
          <w:sz w:val="18"/>
          <w:szCs w:val="18"/>
          <w:u w:val="single"/>
        </w:rPr>
      </w:pPr>
    </w:p>
    <w:p w:rsidR="003A054F" w:rsidRPr="004B07AA" w:rsidRDefault="003A054F" w:rsidP="003A054F">
      <w:pPr>
        <w:jc w:val="both"/>
        <w:rPr>
          <w:sz w:val="18"/>
          <w:szCs w:val="18"/>
          <w:u w:val="single"/>
        </w:rPr>
      </w:pPr>
      <w:r w:rsidRPr="004B07AA">
        <w:rPr>
          <w:sz w:val="18"/>
          <w:szCs w:val="18"/>
          <w:u w:val="single"/>
        </w:rPr>
        <w:t>Wykonano w dwóch egzemplarzach:</w:t>
      </w:r>
    </w:p>
    <w:p w:rsidR="003A054F" w:rsidRPr="00692AC5" w:rsidRDefault="003A054F" w:rsidP="00692AC5">
      <w:pPr>
        <w:spacing w:after="0"/>
        <w:jc w:val="both"/>
        <w:rPr>
          <w:sz w:val="18"/>
          <w:szCs w:val="18"/>
        </w:rPr>
      </w:pPr>
      <w:r w:rsidRPr="00692AC5">
        <w:rPr>
          <w:sz w:val="18"/>
          <w:szCs w:val="18"/>
        </w:rPr>
        <w:t xml:space="preserve">1. </w:t>
      </w:r>
      <w:r w:rsidRPr="001918B7">
        <w:rPr>
          <w:i/>
          <w:sz w:val="18"/>
          <w:szCs w:val="18"/>
        </w:rPr>
        <w:t>ad acta</w:t>
      </w:r>
      <w:r w:rsidRPr="00692AC5">
        <w:rPr>
          <w:sz w:val="18"/>
          <w:szCs w:val="18"/>
        </w:rPr>
        <w:t>;</w:t>
      </w:r>
    </w:p>
    <w:p w:rsidR="003A054F" w:rsidRPr="00692AC5" w:rsidRDefault="003A054F" w:rsidP="003A054F">
      <w:pPr>
        <w:jc w:val="both"/>
        <w:rPr>
          <w:sz w:val="18"/>
          <w:szCs w:val="18"/>
        </w:rPr>
      </w:pPr>
      <w:r w:rsidRPr="00692AC5">
        <w:rPr>
          <w:sz w:val="18"/>
          <w:szCs w:val="18"/>
        </w:rPr>
        <w:t>2. Kancelaria Sejmu.</w:t>
      </w:r>
    </w:p>
    <w:sectPr w:rsidR="003A054F" w:rsidRPr="00692AC5" w:rsidSect="003A054F">
      <w:footerReference w:type="default" r:id="rId8"/>
      <w:headerReference w:type="first" r:id="rId9"/>
      <w:footerReference w:type="first" r:id="rId10"/>
      <w:pgSz w:w="11906" w:h="16838"/>
      <w:pgMar w:top="1440" w:right="144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9AC" w:rsidRDefault="00A069AC" w:rsidP="003A054F">
      <w:pPr>
        <w:spacing w:after="0" w:line="240" w:lineRule="auto"/>
      </w:pPr>
      <w:r>
        <w:separator/>
      </w:r>
    </w:p>
  </w:endnote>
  <w:endnote w:type="continuationSeparator" w:id="1">
    <w:p w:rsidR="00A069AC" w:rsidRDefault="00A069AC" w:rsidP="003A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31" w:rsidRDefault="00030C31">
    <w:pPr>
      <w:pStyle w:val="Stopka"/>
      <w:jc w:val="center"/>
    </w:pPr>
    <w:r>
      <w:t xml:space="preserve">str. </w:t>
    </w:r>
    <w:sdt>
      <w:sdtPr>
        <w:id w:val="576056881"/>
        <w:docPartObj>
          <w:docPartGallery w:val="Page Numbers (Bottom of Page)"/>
          <w:docPartUnique/>
        </w:docPartObj>
      </w:sdtPr>
      <w:sdtContent>
        <w:fldSimple w:instr=" PAGE   \* MERGEFORMAT ">
          <w:r w:rsidR="00207EE4">
            <w:rPr>
              <w:noProof/>
            </w:rPr>
            <w:t>2</w:t>
          </w:r>
        </w:fldSimple>
      </w:sdtContent>
    </w:sdt>
  </w:p>
  <w:p w:rsidR="00030C31" w:rsidRDefault="00030C3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31" w:rsidRDefault="00030C31">
    <w:pPr>
      <w:pStyle w:val="Stopka"/>
      <w:jc w:val="center"/>
    </w:pPr>
    <w:r>
      <w:t xml:space="preserve">str. </w:t>
    </w:r>
    <w:sdt>
      <w:sdtPr>
        <w:id w:val="84121329"/>
        <w:docPartObj>
          <w:docPartGallery w:val="Page Numbers (Bottom of Page)"/>
          <w:docPartUnique/>
        </w:docPartObj>
      </w:sdtPr>
      <w:sdtContent>
        <w:fldSimple w:instr=" PAGE   \* MERGEFORMAT ">
          <w:r w:rsidR="003E1B02">
            <w:rPr>
              <w:noProof/>
            </w:rPr>
            <w:t>1</w:t>
          </w:r>
        </w:fldSimple>
      </w:sdtContent>
    </w:sdt>
  </w:p>
  <w:p w:rsidR="00030C31" w:rsidRDefault="00030C31" w:rsidP="00692AC5">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9AC" w:rsidRDefault="00A069AC" w:rsidP="003A054F">
      <w:pPr>
        <w:spacing w:after="0" w:line="240" w:lineRule="auto"/>
      </w:pPr>
      <w:r>
        <w:separator/>
      </w:r>
    </w:p>
  </w:footnote>
  <w:footnote w:type="continuationSeparator" w:id="1">
    <w:p w:rsidR="00A069AC" w:rsidRDefault="00A069AC" w:rsidP="003A0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31" w:rsidRDefault="00030C31" w:rsidP="00692AC5">
    <w:pPr>
      <w:pStyle w:val="Nagwek"/>
      <w:tabs>
        <w:tab w:val="clear" w:pos="4536"/>
        <w:tab w:val="clear" w:pos="9072"/>
      </w:tabs>
      <w:ind w:left="4962"/>
      <w:jc w:val="right"/>
    </w:pPr>
    <w:r>
      <w:t>...................................., dn. ……11.2024 r.</w:t>
    </w:r>
    <w:r>
      <w:br/>
    </w:r>
    <w:r>
      <w:rPr>
        <w:sz w:val="14"/>
      </w:rPr>
      <w:tab/>
    </w:r>
    <w:r w:rsidRPr="003A054F">
      <w:rPr>
        <w:sz w:val="14"/>
      </w:rPr>
      <w:t>(miejscowość)</w:t>
    </w:r>
    <w:r>
      <w:rPr>
        <w:sz w:val="14"/>
      </w:rPr>
      <w:tab/>
    </w:r>
    <w:r>
      <w:rPr>
        <w:sz w:val="14"/>
      </w:rPr>
      <w:tab/>
    </w:r>
    <w:r>
      <w:rPr>
        <w:sz w:val="14"/>
      </w:rPr>
      <w:tab/>
    </w:r>
    <w:r w:rsidRPr="003A054F">
      <w:br/>
    </w:r>
    <w:r>
      <w:t>egz. nr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73E"/>
    <w:multiLevelType w:val="hybridMultilevel"/>
    <w:tmpl w:val="4636F4A2"/>
    <w:lvl w:ilvl="0" w:tplc="0415000F">
      <w:start w:val="1"/>
      <w:numFmt w:val="decimal"/>
      <w:lvlText w:val="%1."/>
      <w:lvlJc w:val="left"/>
      <w:pPr>
        <w:ind w:left="760" w:hanging="360"/>
      </w:pPr>
    </w:lvl>
    <w:lvl w:ilvl="1" w:tplc="04150017">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nsid w:val="18E42945"/>
    <w:multiLevelType w:val="hybridMultilevel"/>
    <w:tmpl w:val="CB5E6EEE"/>
    <w:lvl w:ilvl="0" w:tplc="1EF628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4C5D72"/>
    <w:multiLevelType w:val="hybridMultilevel"/>
    <w:tmpl w:val="50BEFA0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FF3C33"/>
    <w:rsid w:val="00030C31"/>
    <w:rsid w:val="00095F5E"/>
    <w:rsid w:val="000B6947"/>
    <w:rsid w:val="001753BD"/>
    <w:rsid w:val="00186B86"/>
    <w:rsid w:val="001918B7"/>
    <w:rsid w:val="001E4381"/>
    <w:rsid w:val="001F542D"/>
    <w:rsid w:val="00207EE4"/>
    <w:rsid w:val="0024253D"/>
    <w:rsid w:val="00252BB6"/>
    <w:rsid w:val="002F55E7"/>
    <w:rsid w:val="00332156"/>
    <w:rsid w:val="00364E79"/>
    <w:rsid w:val="003A054F"/>
    <w:rsid w:val="003A57D1"/>
    <w:rsid w:val="003E1B02"/>
    <w:rsid w:val="00412DA2"/>
    <w:rsid w:val="00423F74"/>
    <w:rsid w:val="004B07AA"/>
    <w:rsid w:val="005E14CE"/>
    <w:rsid w:val="00692AC5"/>
    <w:rsid w:val="00736015"/>
    <w:rsid w:val="00847B4D"/>
    <w:rsid w:val="009470BA"/>
    <w:rsid w:val="0097536A"/>
    <w:rsid w:val="00A069AC"/>
    <w:rsid w:val="00A216DF"/>
    <w:rsid w:val="00A54A88"/>
    <w:rsid w:val="00AC081D"/>
    <w:rsid w:val="00C1070B"/>
    <w:rsid w:val="00CA52CE"/>
    <w:rsid w:val="00E02282"/>
    <w:rsid w:val="00E151D2"/>
    <w:rsid w:val="00E877AA"/>
    <w:rsid w:val="00FB0471"/>
    <w:rsid w:val="00FF3C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4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3C33"/>
    <w:pPr>
      <w:ind w:left="720"/>
      <w:contextualSpacing/>
    </w:pPr>
  </w:style>
  <w:style w:type="paragraph" w:styleId="Nagwek">
    <w:name w:val="header"/>
    <w:basedOn w:val="Normalny"/>
    <w:link w:val="NagwekZnak"/>
    <w:uiPriority w:val="99"/>
    <w:semiHidden/>
    <w:unhideWhenUsed/>
    <w:rsid w:val="003A054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A054F"/>
  </w:style>
  <w:style w:type="paragraph" w:styleId="Stopka">
    <w:name w:val="footer"/>
    <w:basedOn w:val="Normalny"/>
    <w:link w:val="StopkaZnak"/>
    <w:uiPriority w:val="99"/>
    <w:unhideWhenUsed/>
    <w:rsid w:val="003A05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54F"/>
  </w:style>
  <w:style w:type="character" w:styleId="Pogrubienie">
    <w:name w:val="Strong"/>
    <w:basedOn w:val="Domylnaczcionkaakapitu"/>
    <w:uiPriority w:val="22"/>
    <w:qFormat/>
    <w:rsid w:val="00C1070B"/>
    <w:rPr>
      <w:b/>
      <w:bCs/>
    </w:rPr>
  </w:style>
  <w:style w:type="character" w:styleId="Odwoaniedokomentarza">
    <w:name w:val="annotation reference"/>
    <w:basedOn w:val="Domylnaczcionkaakapitu"/>
    <w:uiPriority w:val="99"/>
    <w:semiHidden/>
    <w:unhideWhenUsed/>
    <w:rsid w:val="003A57D1"/>
    <w:rPr>
      <w:sz w:val="16"/>
      <w:szCs w:val="16"/>
    </w:rPr>
  </w:style>
  <w:style w:type="paragraph" w:styleId="Tekstkomentarza">
    <w:name w:val="annotation text"/>
    <w:basedOn w:val="Normalny"/>
    <w:link w:val="TekstkomentarzaZnak"/>
    <w:uiPriority w:val="99"/>
    <w:semiHidden/>
    <w:unhideWhenUsed/>
    <w:rsid w:val="003A57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57D1"/>
    <w:rPr>
      <w:sz w:val="20"/>
      <w:szCs w:val="20"/>
    </w:rPr>
  </w:style>
  <w:style w:type="paragraph" w:styleId="Tematkomentarza">
    <w:name w:val="annotation subject"/>
    <w:basedOn w:val="Tekstkomentarza"/>
    <w:next w:val="Tekstkomentarza"/>
    <w:link w:val="TematkomentarzaZnak"/>
    <w:uiPriority w:val="99"/>
    <w:semiHidden/>
    <w:unhideWhenUsed/>
    <w:rsid w:val="003A57D1"/>
    <w:rPr>
      <w:b/>
      <w:bCs/>
    </w:rPr>
  </w:style>
  <w:style w:type="character" w:customStyle="1" w:styleId="TematkomentarzaZnak">
    <w:name w:val="Temat komentarza Znak"/>
    <w:basedOn w:val="TekstkomentarzaZnak"/>
    <w:link w:val="Tematkomentarza"/>
    <w:uiPriority w:val="99"/>
    <w:semiHidden/>
    <w:rsid w:val="003A57D1"/>
    <w:rPr>
      <w:b/>
      <w:bCs/>
    </w:rPr>
  </w:style>
  <w:style w:type="paragraph" w:styleId="Tekstdymka">
    <w:name w:val="Balloon Text"/>
    <w:basedOn w:val="Normalny"/>
    <w:link w:val="TekstdymkaZnak"/>
    <w:uiPriority w:val="99"/>
    <w:semiHidden/>
    <w:unhideWhenUsed/>
    <w:rsid w:val="003A57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5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023106">
      <w:bodyDiv w:val="1"/>
      <w:marLeft w:val="0"/>
      <w:marRight w:val="0"/>
      <w:marTop w:val="0"/>
      <w:marBottom w:val="0"/>
      <w:divBdr>
        <w:top w:val="none" w:sz="0" w:space="0" w:color="auto"/>
        <w:left w:val="none" w:sz="0" w:space="0" w:color="auto"/>
        <w:bottom w:val="none" w:sz="0" w:space="0" w:color="auto"/>
        <w:right w:val="none" w:sz="0" w:space="0" w:color="auto"/>
      </w:divBdr>
      <w:divsChild>
        <w:div w:id="1881166733">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CBE9-AADB-4805-AEE2-512B1D67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1011</Words>
  <Characters>6067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2024-11-18T20:44:00Z</cp:lastPrinted>
  <dcterms:created xsi:type="dcterms:W3CDTF">2024-11-22T12:54:00Z</dcterms:created>
  <dcterms:modified xsi:type="dcterms:W3CDTF">2024-11-22T15:01:00Z</dcterms:modified>
</cp:coreProperties>
</file>