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4A" w:rsidRPr="003A054F" w:rsidRDefault="0019634A" w:rsidP="0019634A">
      <w:pPr>
        <w:ind w:right="4838"/>
        <w:jc w:val="center"/>
        <w:rPr>
          <w:sz w:val="14"/>
        </w:rPr>
      </w:pPr>
      <w:r>
        <w:t>................................................................</w:t>
      </w:r>
      <w:r>
        <w:br/>
      </w:r>
      <w:r w:rsidRPr="003A054F">
        <w:rPr>
          <w:sz w:val="14"/>
        </w:rPr>
        <w:t>(Imię i Nazwisko)</w:t>
      </w:r>
    </w:p>
    <w:p w:rsidR="0019634A" w:rsidRPr="003A054F" w:rsidRDefault="0019634A" w:rsidP="0019634A">
      <w:pPr>
        <w:ind w:right="4838"/>
        <w:jc w:val="center"/>
        <w:rPr>
          <w:sz w:val="14"/>
        </w:rPr>
      </w:pPr>
      <w:r>
        <w:t>................................................................</w:t>
      </w:r>
      <w:r>
        <w:br/>
      </w:r>
      <w:r w:rsidRPr="003A054F">
        <w:rPr>
          <w:sz w:val="14"/>
        </w:rPr>
        <w:t>(ulica, numer domu/mieszkania)</w:t>
      </w:r>
    </w:p>
    <w:p w:rsidR="0019634A" w:rsidRPr="003A054F" w:rsidRDefault="0019634A" w:rsidP="0019634A">
      <w:pPr>
        <w:ind w:right="4838"/>
        <w:jc w:val="center"/>
        <w:rPr>
          <w:sz w:val="14"/>
        </w:rPr>
      </w:pPr>
      <w:r>
        <w:t>................................................................</w:t>
      </w:r>
      <w:r>
        <w:br/>
      </w:r>
      <w:r w:rsidRPr="003A054F">
        <w:rPr>
          <w:sz w:val="14"/>
        </w:rPr>
        <w:t>(kod pocztowy i miejscowość)</w:t>
      </w:r>
    </w:p>
    <w:p w:rsidR="00325F7D" w:rsidRPr="00FB78D7" w:rsidRDefault="00325F7D" w:rsidP="00325F7D">
      <w:pPr>
        <w:ind w:left="4820"/>
        <w:rPr>
          <w:color w:val="000000" w:themeColor="text1"/>
        </w:rPr>
      </w:pPr>
      <w:r w:rsidRPr="00FB78D7">
        <w:rPr>
          <w:color w:val="000000" w:themeColor="text1"/>
        </w:rPr>
        <w:t>Sąd Rejonowy Lublin-Zachód w Lublinie</w:t>
      </w:r>
    </w:p>
    <w:p w:rsidR="00325F7D" w:rsidRPr="00FB78D7" w:rsidRDefault="00325F7D" w:rsidP="00325F7D">
      <w:pPr>
        <w:ind w:left="4820"/>
        <w:rPr>
          <w:b/>
          <w:color w:val="000000" w:themeColor="text1"/>
          <w:u w:val="single"/>
        </w:rPr>
      </w:pPr>
      <w:r w:rsidRPr="00FB78D7">
        <w:rPr>
          <w:color w:val="000000" w:themeColor="text1"/>
        </w:rPr>
        <w:t>ul. Krakowskie Przedmieście 78</w:t>
      </w:r>
      <w:r w:rsidRPr="00FB78D7">
        <w:rPr>
          <w:color w:val="000000" w:themeColor="text1"/>
        </w:rPr>
        <w:br/>
      </w:r>
      <w:r w:rsidRPr="00FB78D7">
        <w:rPr>
          <w:b/>
          <w:color w:val="000000" w:themeColor="text1"/>
          <w:u w:val="single"/>
        </w:rPr>
        <w:t>20-950 Lublin</w:t>
      </w:r>
    </w:p>
    <w:p w:rsidR="00325F7D" w:rsidRPr="00FB78D7" w:rsidRDefault="00325F7D" w:rsidP="00325F7D">
      <w:pPr>
        <w:shd w:val="clear" w:color="auto" w:fill="FFFFFF"/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 w:rsidRPr="00FB78D7">
        <w:rPr>
          <w:rFonts w:eastAsia="Times New Roman" w:cs="Arial"/>
          <w:color w:val="000000" w:themeColor="text1"/>
          <w:lang w:eastAsia="pl-PL"/>
        </w:rPr>
        <w:t>Sygn. akt: IV W 520/24 IX</w:t>
      </w:r>
      <w:r w:rsidRPr="00FB78D7">
        <w:rPr>
          <w:rFonts w:eastAsia="Times New Roman" w:cs="Arial"/>
          <w:color w:val="000000" w:themeColor="text1"/>
          <w:lang w:eastAsia="pl-PL"/>
        </w:rPr>
        <w:br/>
        <w:t>obwiniony: Szymon Fijał</w:t>
      </w:r>
    </w:p>
    <w:p w:rsidR="0019634A" w:rsidRDefault="0019634A" w:rsidP="0019634A">
      <w:pPr>
        <w:jc w:val="center"/>
        <w:rPr>
          <w:b/>
        </w:rPr>
      </w:pPr>
      <w:r>
        <w:rPr>
          <w:b/>
        </w:rPr>
        <w:t>PISMO WRAZ Z WNIOSKIEM</w:t>
      </w:r>
    </w:p>
    <w:p w:rsidR="0019634A" w:rsidRPr="0019634A" w:rsidRDefault="008D669C" w:rsidP="0019634A">
      <w:pPr>
        <w:ind w:firstLine="709"/>
        <w:jc w:val="both"/>
      </w:pPr>
      <w:r>
        <w:t xml:space="preserve">Wskazuję na konieczność </w:t>
      </w:r>
      <w:r w:rsidR="00325F7D">
        <w:t>umorzeni</w:t>
      </w:r>
      <w:r>
        <w:t>a</w:t>
      </w:r>
      <w:r w:rsidR="00325F7D">
        <w:t xml:space="preserve"> sprawy oraz</w:t>
      </w:r>
      <w:r w:rsidR="0019634A" w:rsidRPr="0019634A">
        <w:t xml:space="preserve"> </w:t>
      </w:r>
      <w:r>
        <w:t xml:space="preserve">wnoszę </w:t>
      </w:r>
      <w:r w:rsidR="0019634A" w:rsidRPr="0019634A">
        <w:t>o kontrolę konstytucyjności oraz legalności stosowania rozporządzeń Ministra Obrony Narodowej w sp</w:t>
      </w:r>
      <w:r w:rsidR="0019634A">
        <w:t>rawie uzyskiwania zezwolenia na </w:t>
      </w:r>
      <w:r w:rsidR="0019634A" w:rsidRPr="0019634A">
        <w:t>noszenie munduru przez żołnierzy rezerwy nie pełnią</w:t>
      </w:r>
      <w:r w:rsidR="0019634A">
        <w:t>cych czynnej służby wojskowej w </w:t>
      </w:r>
      <w:r w:rsidR="0019634A" w:rsidRPr="0019634A">
        <w:t>okolicznościach wynikających z treści art. 11a Ustawy o odznakach i mundurach.</w:t>
      </w:r>
    </w:p>
    <w:p w:rsidR="0019634A" w:rsidRPr="00CA52CE" w:rsidRDefault="0019634A" w:rsidP="0019634A">
      <w:pPr>
        <w:jc w:val="center"/>
        <w:rPr>
          <w:b/>
        </w:rPr>
      </w:pPr>
      <w:r>
        <w:rPr>
          <w:b/>
        </w:rPr>
        <w:t>UZASADNIENIE</w:t>
      </w:r>
    </w:p>
    <w:p w:rsidR="0019634A" w:rsidRPr="00145BFD" w:rsidRDefault="0019634A" w:rsidP="0019634A">
      <w:pPr>
        <w:ind w:firstLine="709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Szymon Franciszek Fijał jest</w:t>
      </w:r>
      <w:r w:rsidRPr="00145BFD">
        <w:rPr>
          <w:rFonts w:cstheme="minorHAnsi"/>
          <w:color w:val="000000" w:themeColor="text1"/>
        </w:rPr>
        <w:t xml:space="preserve"> oficerem Wojska Polskiego w stopniu porucznika. Minister </w:t>
      </w:r>
      <w:r>
        <w:rPr>
          <w:rFonts w:cstheme="minorHAnsi"/>
          <w:color w:val="000000" w:themeColor="text1"/>
        </w:rPr>
        <w:t>Obrony Narodowej wypowiedział mu</w:t>
      </w:r>
      <w:r w:rsidRPr="00145BFD">
        <w:rPr>
          <w:rFonts w:cstheme="minorHAnsi"/>
          <w:color w:val="000000" w:themeColor="text1"/>
        </w:rPr>
        <w:t xml:space="preserve"> stosunek służbowy - </w:t>
      </w:r>
      <w:r>
        <w:rPr>
          <w:rFonts w:cstheme="minorHAnsi"/>
          <w:color w:val="000000" w:themeColor="text1"/>
        </w:rPr>
        <w:t>został</w:t>
      </w:r>
      <w:r w:rsidRPr="00145BFD">
        <w:rPr>
          <w:rFonts w:cstheme="minorHAnsi"/>
          <w:color w:val="000000" w:themeColor="text1"/>
        </w:rPr>
        <w:t xml:space="preserve"> zwolniony z </w:t>
      </w:r>
      <w:r>
        <w:rPr>
          <w:rFonts w:cstheme="minorHAnsi"/>
          <w:color w:val="000000" w:themeColor="text1"/>
        </w:rPr>
        <w:t>zawodowej służby wojskowej i </w:t>
      </w:r>
      <w:r w:rsidRPr="00145BFD">
        <w:rPr>
          <w:rFonts w:cstheme="minorHAnsi"/>
          <w:color w:val="000000" w:themeColor="text1"/>
        </w:rPr>
        <w:t xml:space="preserve">przeniesiony </w:t>
      </w:r>
      <w:r>
        <w:rPr>
          <w:rFonts w:cstheme="minorHAnsi"/>
          <w:color w:val="000000" w:themeColor="text1"/>
        </w:rPr>
        <w:t>do </w:t>
      </w:r>
      <w:r w:rsidRPr="00145BFD">
        <w:rPr>
          <w:rFonts w:cstheme="minorHAnsi"/>
          <w:color w:val="000000" w:themeColor="text1"/>
        </w:rPr>
        <w:t>rezerwy.</w:t>
      </w:r>
      <w:r>
        <w:rPr>
          <w:rFonts w:cstheme="minorHAnsi"/>
          <w:color w:val="000000" w:themeColor="text1"/>
        </w:rPr>
        <w:t xml:space="preserve"> Pełnił</w:t>
      </w:r>
      <w:r w:rsidRPr="00145BFD">
        <w:rPr>
          <w:rFonts w:cstheme="minorHAnsi"/>
          <w:color w:val="000000" w:themeColor="text1"/>
        </w:rPr>
        <w:t xml:space="preserve"> czynną służbę wojskową od </w:t>
      </w:r>
      <w:r>
        <w:rPr>
          <w:rFonts w:cstheme="minorHAnsi"/>
          <w:color w:val="000000" w:themeColor="text1"/>
        </w:rPr>
        <w:t>dnia 28 sierpnia 2012 roku do 6 </w:t>
      </w:r>
      <w:r w:rsidRPr="00145BFD">
        <w:rPr>
          <w:rFonts w:cstheme="minorHAnsi"/>
          <w:color w:val="000000" w:themeColor="text1"/>
        </w:rPr>
        <w:t>sierpnia 2017 roku jako podchorąży Wyższej Szkoł</w:t>
      </w:r>
      <w:r>
        <w:rPr>
          <w:rFonts w:cstheme="minorHAnsi"/>
          <w:color w:val="000000" w:themeColor="text1"/>
        </w:rPr>
        <w:t>y Oficerskiej Wojsk Lądowych we </w:t>
      </w:r>
      <w:r w:rsidRPr="00145BFD">
        <w:rPr>
          <w:rFonts w:cstheme="minorHAnsi"/>
          <w:color w:val="000000" w:themeColor="text1"/>
        </w:rPr>
        <w:t>Wrocławiu, następni</w:t>
      </w:r>
      <w:r>
        <w:rPr>
          <w:rFonts w:cstheme="minorHAnsi"/>
          <w:color w:val="000000" w:themeColor="text1"/>
        </w:rPr>
        <w:t>e zawodową służbę wojskową od 7 </w:t>
      </w:r>
      <w:r w:rsidRPr="00145BFD">
        <w:rPr>
          <w:rFonts w:cstheme="minorHAnsi"/>
          <w:color w:val="000000" w:themeColor="text1"/>
        </w:rPr>
        <w:t>sierpnia 2017 roku do 31 marca 2022</w:t>
      </w:r>
      <w:r>
        <w:rPr>
          <w:rFonts w:cstheme="minorHAnsi"/>
          <w:color w:val="000000" w:themeColor="text1"/>
        </w:rPr>
        <w:t xml:space="preserve"> roku. W dniu, w którym został zwolniony zajmował</w:t>
      </w:r>
      <w:r w:rsidRPr="00145BFD">
        <w:rPr>
          <w:rFonts w:cstheme="minorHAnsi"/>
          <w:color w:val="000000" w:themeColor="text1"/>
        </w:rPr>
        <w:t xml:space="preserve"> stanowisk</w:t>
      </w:r>
      <w:r>
        <w:rPr>
          <w:rFonts w:cstheme="minorHAnsi"/>
          <w:color w:val="000000" w:themeColor="text1"/>
        </w:rPr>
        <w:t>o służbowe dowódcy kompanii w 3 </w:t>
      </w:r>
      <w:r w:rsidRPr="00145BFD">
        <w:rPr>
          <w:rFonts w:cstheme="minorHAnsi"/>
          <w:color w:val="000000" w:themeColor="text1"/>
        </w:rPr>
        <w:t>Podkarpackiej B</w:t>
      </w:r>
      <w:r>
        <w:rPr>
          <w:rFonts w:cstheme="minorHAnsi"/>
          <w:color w:val="000000" w:themeColor="text1"/>
        </w:rPr>
        <w:t>rygadzie Obrony Terytorialnej w </w:t>
      </w:r>
      <w:r w:rsidRPr="00145BFD">
        <w:rPr>
          <w:rFonts w:cstheme="minorHAnsi"/>
          <w:color w:val="000000" w:themeColor="text1"/>
        </w:rPr>
        <w:t xml:space="preserve">Rzeszowie (3PBOT). </w:t>
      </w:r>
      <w:r>
        <w:rPr>
          <w:rFonts w:cstheme="minorHAnsi"/>
          <w:color w:val="000000" w:themeColor="text1"/>
        </w:rPr>
        <w:t xml:space="preserve">Poświęcił się </w:t>
      </w:r>
      <w:r w:rsidRPr="00145BFD">
        <w:rPr>
          <w:rFonts w:cstheme="minorHAnsi"/>
          <w:color w:val="000000" w:themeColor="text1"/>
        </w:rPr>
        <w:t>ideom zawartym w Konstytucji Rzeczypospolitej Polskiej, w szczególności wolności i prawom człowieka. P</w:t>
      </w:r>
      <w:r>
        <w:rPr>
          <w:rFonts w:cstheme="minorHAnsi"/>
          <w:color w:val="000000" w:themeColor="text1"/>
        </w:rPr>
        <w:t>odczas epidemii Sars-Cov-2 był</w:t>
      </w:r>
      <w:r w:rsidRPr="00145BFD">
        <w:rPr>
          <w:rFonts w:cstheme="minorHAnsi"/>
          <w:color w:val="000000" w:themeColor="text1"/>
        </w:rPr>
        <w:t xml:space="preserve"> poddawany licznym naciskom w związku z pozbawionym podstawy prawnej nieformalnym przymuszaniem Żołnierzy</w:t>
      </w:r>
      <w:r>
        <w:rPr>
          <w:rFonts w:cstheme="minorHAnsi"/>
          <w:color w:val="000000" w:themeColor="text1"/>
        </w:rPr>
        <w:t xml:space="preserve"> do przyjęcia preparatów mRNA i </w:t>
      </w:r>
      <w:r w:rsidRPr="00145BFD">
        <w:rPr>
          <w:rFonts w:cstheme="minorHAnsi"/>
          <w:color w:val="000000" w:themeColor="text1"/>
        </w:rPr>
        <w:t>wektorowych, spełniających definicję eksperymentu medycznego</w:t>
      </w:r>
      <w:r>
        <w:rPr>
          <w:rFonts w:cstheme="minorHAnsi"/>
          <w:color w:val="000000" w:themeColor="text1"/>
        </w:rPr>
        <w:t xml:space="preserve"> (art. 39 Konstytucji RP)</w:t>
      </w:r>
      <w:r w:rsidRPr="00145BFD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>2 </w:t>
      </w:r>
      <w:r w:rsidRPr="00145BFD">
        <w:rPr>
          <w:rFonts w:cstheme="minorHAnsi"/>
          <w:color w:val="000000" w:themeColor="text1"/>
        </w:rPr>
        <w:t xml:space="preserve">lipca 2021 roku, po otrzymaniu rozkazu naruszającego prawo, </w:t>
      </w:r>
      <w:r>
        <w:rPr>
          <w:rFonts w:cstheme="minorHAnsi"/>
          <w:color w:val="000000" w:themeColor="text1"/>
        </w:rPr>
        <w:t>złożył</w:t>
      </w:r>
      <w:r w:rsidRPr="00145BFD">
        <w:rPr>
          <w:rFonts w:cstheme="minorHAnsi"/>
          <w:color w:val="000000" w:themeColor="text1"/>
        </w:rPr>
        <w:t xml:space="preserve"> meldunek do wyższego przełożonego o przekroczeniu uprawnień przez dowódcę 3PBOT </w:t>
      </w:r>
      <w:r w:rsidRPr="00145BFD">
        <w:rPr>
          <w:rFonts w:cstheme="minorHAnsi"/>
          <w:b/>
          <w:color w:val="000000" w:themeColor="text1"/>
        </w:rPr>
        <w:t>(zgłoszenie wewnętrzne)</w:t>
      </w:r>
      <w:r w:rsidRPr="00145BFD">
        <w:rPr>
          <w:rFonts w:cstheme="minorHAnsi"/>
          <w:color w:val="000000" w:themeColor="text1"/>
        </w:rPr>
        <w:t>. 14</w:t>
      </w:r>
      <w:r>
        <w:rPr>
          <w:rFonts w:cstheme="minorHAnsi"/>
          <w:color w:val="000000" w:themeColor="text1"/>
        </w:rPr>
        <w:t> </w:t>
      </w:r>
      <w:r w:rsidRPr="00145BFD">
        <w:rPr>
          <w:rFonts w:cstheme="minorHAnsi"/>
          <w:color w:val="000000" w:themeColor="text1"/>
        </w:rPr>
        <w:t xml:space="preserve">lipca 2021 roku </w:t>
      </w:r>
      <w:r>
        <w:rPr>
          <w:rFonts w:cstheme="minorHAnsi"/>
          <w:color w:val="000000" w:themeColor="text1"/>
        </w:rPr>
        <w:t>złożył</w:t>
      </w:r>
      <w:r w:rsidRPr="00145BFD">
        <w:rPr>
          <w:rFonts w:cstheme="minorHAnsi"/>
          <w:color w:val="000000" w:themeColor="text1"/>
        </w:rPr>
        <w:t xml:space="preserve"> zawiadomienie o możliwo</w:t>
      </w:r>
      <w:r>
        <w:rPr>
          <w:rFonts w:cstheme="minorHAnsi"/>
          <w:color w:val="000000" w:themeColor="text1"/>
        </w:rPr>
        <w:t>ści popełnienia przestępstwa do </w:t>
      </w:r>
      <w:r w:rsidRPr="00145BFD">
        <w:rPr>
          <w:rFonts w:cstheme="minorHAnsi"/>
          <w:color w:val="000000" w:themeColor="text1"/>
        </w:rPr>
        <w:t xml:space="preserve">Prokuratury Okręgowej w Warszawie </w:t>
      </w:r>
      <w:r w:rsidRPr="00145BFD">
        <w:rPr>
          <w:rFonts w:cstheme="minorHAnsi"/>
          <w:b/>
          <w:color w:val="000000" w:themeColor="text1"/>
        </w:rPr>
        <w:t>(zgłoszenie zewnętrzne)</w:t>
      </w:r>
      <w:r w:rsidRPr="00145BFD">
        <w:rPr>
          <w:rFonts w:cstheme="minorHAnsi"/>
          <w:color w:val="000000" w:themeColor="text1"/>
        </w:rPr>
        <w:t xml:space="preserve"> - odmówiono wszczęcia śledztwa. 27 lipca 2021 roku - przebywając na dniu wolnym od służby - </w:t>
      </w:r>
      <w:r>
        <w:rPr>
          <w:rFonts w:cstheme="minorHAnsi"/>
          <w:color w:val="000000" w:themeColor="text1"/>
        </w:rPr>
        <w:t>zabrał</w:t>
      </w:r>
      <w:r w:rsidRPr="00145BFD">
        <w:rPr>
          <w:rFonts w:cstheme="minorHAnsi"/>
          <w:color w:val="000000" w:themeColor="text1"/>
        </w:rPr>
        <w:t xml:space="preserve"> głos podczas posiedzenia Parlamentarnego Zespołu ds. Bezpieczeństwa Szczepień Dzieci i Dorosłych, przedstawiając wybraną dokumentację jawną </w:t>
      </w:r>
      <w:r w:rsidRPr="00145BFD">
        <w:rPr>
          <w:rFonts w:cstheme="minorHAnsi"/>
          <w:b/>
          <w:color w:val="000000" w:themeColor="text1"/>
        </w:rPr>
        <w:t>(ujawnienie publiczne)</w:t>
      </w:r>
      <w:r w:rsidRPr="00145BFD">
        <w:rPr>
          <w:rFonts w:cstheme="minorHAnsi"/>
          <w:color w:val="000000" w:themeColor="text1"/>
        </w:rPr>
        <w:t>.  Kolizja działań przełożonych z zasadą prawo</w:t>
      </w:r>
      <w:r>
        <w:rPr>
          <w:rFonts w:cstheme="minorHAnsi"/>
          <w:color w:val="000000" w:themeColor="text1"/>
        </w:rPr>
        <w:t>rządności (art. 7 Konstytucji),</w:t>
      </w:r>
      <w:r w:rsidRPr="00145BFD">
        <w:rPr>
          <w:rFonts w:cstheme="minorHAnsi"/>
          <w:color w:val="000000" w:themeColor="text1"/>
        </w:rPr>
        <w:t xml:space="preserve"> </w:t>
      </w:r>
      <w:r w:rsidR="000518CF" w:rsidRPr="000518CF">
        <w:rPr>
          <w:rFonts w:cstheme="minorHAnsi"/>
          <w:color w:val="000000" w:themeColor="text1"/>
        </w:rPr>
        <w:t>z wiernością Rocie Pr</w:t>
      </w:r>
      <w:r w:rsidR="000518CF">
        <w:rPr>
          <w:rFonts w:cstheme="minorHAnsi"/>
          <w:color w:val="000000" w:themeColor="text1"/>
        </w:rPr>
        <w:t>zysięgi Wojskowej - w związku z </w:t>
      </w:r>
      <w:r w:rsidR="000518CF" w:rsidRPr="000518CF">
        <w:rPr>
          <w:rFonts w:cstheme="minorHAnsi"/>
          <w:color w:val="000000" w:themeColor="text1"/>
        </w:rPr>
        <w:t>sygnalizowanymi przez por. rez. Szymona Fijała naruszeniami prawa - poskutkowała działaniami odwetowymi.</w:t>
      </w:r>
    </w:p>
    <w:p w:rsidR="0019634A" w:rsidRPr="00AC081D" w:rsidRDefault="0019634A" w:rsidP="0019634A">
      <w:pPr>
        <w:ind w:firstLine="709"/>
        <w:jc w:val="both"/>
        <w:rPr>
          <w:rFonts w:cstheme="minorHAnsi"/>
          <w:color w:val="000000" w:themeColor="text1"/>
          <w:u w:val="single"/>
        </w:rPr>
      </w:pPr>
      <w:r w:rsidRPr="00AC081D">
        <w:rPr>
          <w:rFonts w:cstheme="minorHAnsi"/>
          <w:color w:val="000000" w:themeColor="text1"/>
        </w:rPr>
        <w:t xml:space="preserve">Od czasu ujawnienia publicznego naruszeń prawa </w:t>
      </w:r>
      <w:r w:rsidRPr="00AC081D">
        <w:rPr>
          <w:rFonts w:cstheme="minorHAnsi"/>
          <w:color w:val="000000" w:themeColor="text1"/>
          <w:u w:val="single"/>
        </w:rPr>
        <w:t xml:space="preserve">jego działania zostały podparte Uchwałą Siedmiu Sędziów Sądu Najwyższego z dnia 26 kwietnia 2023 r. w sprawie o sygn. III PZP </w:t>
      </w:r>
      <w:r w:rsidRPr="00AC081D">
        <w:rPr>
          <w:rFonts w:cstheme="minorHAnsi"/>
          <w:color w:val="000000" w:themeColor="text1"/>
          <w:u w:val="single"/>
        </w:rPr>
        <w:lastRenderedPageBreak/>
        <w:t>6/22 - która stanowi obowiązującą normę prawną. Weszła również w życie Ustawa o ochronie sygnalistów, która dodatkowo wzmacnia zapisy Dyrektywy Parlamentu Europejskiego i Rady UE 2019/1937 z dnia 23 października 2019 r. w sprawie ochrony osób zgłaszających naruszenia prawa Unii.</w:t>
      </w:r>
    </w:p>
    <w:p w:rsidR="0019634A" w:rsidRPr="00AC081D" w:rsidRDefault="0019634A" w:rsidP="0019634A">
      <w:pPr>
        <w:ind w:firstLine="709"/>
        <w:jc w:val="both"/>
        <w:rPr>
          <w:rStyle w:val="Pogrubienie"/>
          <w:rFonts w:cstheme="minorHAnsi"/>
          <w:b w:val="0"/>
          <w:bCs w:val="0"/>
          <w:color w:val="000000" w:themeColor="text1"/>
          <w:u w:val="single"/>
        </w:rPr>
      </w:pPr>
      <w:r w:rsidRPr="00AC081D">
        <w:rPr>
          <w:rFonts w:cstheme="minorHAnsi"/>
          <w:color w:val="000000" w:themeColor="text1"/>
        </w:rPr>
        <w:t>Wobec niego zastosowano szereg nielegalnych działań odwetowych, które poskutkowały m.in. postępowaniami sądowymi (art. 16 ust. 1 i 3 Ustawy z dnia 14 czerwca 2024 r. o ochronie sygnalistów):</w:t>
      </w:r>
    </w:p>
    <w:p w:rsidR="0019634A" w:rsidRPr="00AC081D" w:rsidRDefault="0019634A" w:rsidP="0019634A">
      <w:pPr>
        <w:pStyle w:val="Akapitzlist"/>
        <w:numPr>
          <w:ilvl w:val="1"/>
          <w:numId w:val="2"/>
        </w:numPr>
        <w:ind w:left="1069"/>
        <w:jc w:val="both"/>
        <w:rPr>
          <w:rStyle w:val="Pogrubienie"/>
          <w:rFonts w:cstheme="minorHAnsi"/>
          <w:b w:val="0"/>
          <w:color w:val="000000" w:themeColor="text1"/>
          <w:shd w:val="clear" w:color="auto" w:fill="FFFFFF"/>
        </w:rPr>
      </w:pPr>
      <w:r w:rsidRPr="00AC081D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śledztwo Służby Kontrwywiadu Wojskowego, Prokuratury Okręgowej w Warszawie, Agencji Bezpieczeństwa Wewnętrznego sygn. akt: 3041-8.Ds.152.2022;</w:t>
      </w:r>
    </w:p>
    <w:p w:rsidR="0019634A" w:rsidRPr="00AC081D" w:rsidRDefault="0019634A" w:rsidP="0019634A">
      <w:pPr>
        <w:pStyle w:val="Akapitzlist"/>
        <w:numPr>
          <w:ilvl w:val="1"/>
          <w:numId w:val="2"/>
        </w:numPr>
        <w:ind w:left="1069"/>
        <w:jc w:val="both"/>
        <w:rPr>
          <w:rStyle w:val="Pogrubienie"/>
          <w:rFonts w:cstheme="minorHAnsi"/>
          <w:b w:val="0"/>
          <w:color w:val="000000" w:themeColor="text1"/>
          <w:shd w:val="clear" w:color="auto" w:fill="FFFFFF"/>
        </w:rPr>
      </w:pPr>
      <w:r w:rsidRPr="00AC081D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sprawa o wykroczenie - po sprzeciwie od wyroku nakazowego, orzekającego przepadek munduru Wojska Polskiego;</w:t>
      </w:r>
      <w:r w:rsidRPr="00AC081D">
        <w:rPr>
          <w:rStyle w:val="Pogrubienie"/>
          <w:rFonts w:cstheme="minorHAnsi"/>
          <w:b w:val="0"/>
          <w:color w:val="000000" w:themeColor="text1"/>
          <w:u w:val="single"/>
          <w:shd w:val="clear" w:color="auto" w:fill="FFFFFF"/>
        </w:rPr>
        <w:t xml:space="preserve"> najbliższy termin rozprawy: 28 listopada 2024 roku w Sądzie Rejonowym Lublin-Zachód w Lublinie</w:t>
      </w:r>
      <w:r w:rsidRPr="00AC081D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, godz. </w:t>
      </w:r>
      <w:r w:rsidR="005A47FF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13:00 - sygn. akt: IV </w:t>
      </w:r>
      <w:r w:rsidRPr="00AC081D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W 520/24;</w:t>
      </w:r>
    </w:p>
    <w:p w:rsidR="0019634A" w:rsidRPr="00AC081D" w:rsidRDefault="0019634A" w:rsidP="0019634A">
      <w:pPr>
        <w:pStyle w:val="Akapitzlist"/>
        <w:numPr>
          <w:ilvl w:val="1"/>
          <w:numId w:val="2"/>
        </w:numPr>
        <w:ind w:left="1069"/>
        <w:jc w:val="both"/>
        <w:rPr>
          <w:rStyle w:val="Pogrubienie"/>
          <w:rFonts w:cstheme="minorHAnsi"/>
          <w:b w:val="0"/>
          <w:color w:val="000000" w:themeColor="text1"/>
          <w:shd w:val="clear" w:color="auto" w:fill="FFFFFF"/>
        </w:rPr>
      </w:pPr>
      <w:r w:rsidRPr="00AC081D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 xml:space="preserve">sprawa karna - po apelacji prokuratora po uniewinnieniu w pierwszej instancji z powodu braku jakichkolwiek dowodów winy; </w:t>
      </w:r>
      <w:r w:rsidRPr="00AC081D">
        <w:rPr>
          <w:rStyle w:val="Pogrubienie"/>
          <w:rFonts w:cstheme="minorHAnsi"/>
          <w:b w:val="0"/>
          <w:color w:val="000000" w:themeColor="text1"/>
          <w:u w:val="single"/>
          <w:shd w:val="clear" w:color="auto" w:fill="FFFFFF"/>
        </w:rPr>
        <w:t>najbliższy termin rozprawy: 2 grudnia 2024 roku w Wojskowym Sądzie Okręgowym w Warszawie</w:t>
      </w:r>
      <w:r w:rsidRPr="00AC081D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 xml:space="preserve"> godz. 10:30 - sygn. akt: SA 35/24 w sprawie o sygn. akt Sg 1/23 (WSGar w Lublinie).</w:t>
      </w:r>
    </w:p>
    <w:p w:rsidR="0019634A" w:rsidRPr="00AC081D" w:rsidRDefault="0019634A" w:rsidP="0019634A">
      <w:pPr>
        <w:pStyle w:val="Akapitzlist"/>
        <w:numPr>
          <w:ilvl w:val="1"/>
          <w:numId w:val="2"/>
        </w:numPr>
        <w:ind w:left="1069"/>
        <w:jc w:val="both"/>
        <w:rPr>
          <w:rStyle w:val="Pogrubienie"/>
          <w:rFonts w:cstheme="minorHAnsi"/>
          <w:b w:val="0"/>
          <w:color w:val="000000" w:themeColor="text1"/>
          <w:shd w:val="clear" w:color="auto" w:fill="FFFFFF"/>
        </w:rPr>
      </w:pPr>
      <w:r w:rsidRPr="00AC081D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>sprawa administracyjna (obecna sygn. akt: II SA/Wa 1040/24);</w:t>
      </w:r>
    </w:p>
    <w:p w:rsidR="0019634A" w:rsidRPr="00AC081D" w:rsidRDefault="0019634A" w:rsidP="0019634A">
      <w:pPr>
        <w:pStyle w:val="Akapitzlist"/>
        <w:ind w:left="1069"/>
        <w:jc w:val="both"/>
        <w:rPr>
          <w:rFonts w:cstheme="minorHAnsi"/>
          <w:color w:val="000000" w:themeColor="text1"/>
          <w:shd w:val="clear" w:color="auto" w:fill="FFFFFF"/>
        </w:rPr>
      </w:pPr>
      <w:r w:rsidRPr="00AC081D">
        <w:rPr>
          <w:rStyle w:val="Pogrubienie"/>
          <w:rFonts w:cstheme="minorHAnsi"/>
          <w:b w:val="0"/>
          <w:color w:val="000000" w:themeColor="text1"/>
          <w:shd w:val="clear" w:color="auto" w:fill="FFFFFF"/>
        </w:rPr>
        <w:t xml:space="preserve">Skarga na decyzję Ministra Obrony Narodowej w sprawie zwolnienia i przeniesienia do rezerwy </w:t>
      </w:r>
    </w:p>
    <w:p w:rsidR="0019634A" w:rsidRDefault="0019634A" w:rsidP="0019634A">
      <w:pPr>
        <w:ind w:firstLine="709"/>
        <w:jc w:val="both"/>
      </w:pPr>
      <w:r>
        <w:t xml:space="preserve">Skoro </w:t>
      </w:r>
      <w:r>
        <w:t>S</w:t>
      </w:r>
      <w:r>
        <w:t>ądy są miejscem rozwiązywania sporów prawnyc</w:t>
      </w:r>
      <w:r>
        <w:t>h oraz rozstrzygają o winie lub </w:t>
      </w:r>
      <w:r>
        <w:t xml:space="preserve">niewinności, to </w:t>
      </w:r>
      <w:r w:rsidRPr="00AC081D">
        <w:rPr>
          <w:b/>
        </w:rPr>
        <w:t>powinny pozostawać pod publiczną kontrolą</w:t>
      </w:r>
      <w:r>
        <w:t>, tak jak inne instytucje publiczne. Jednocześnie, nawiązując do swojego prestiżu społecznego, powinny postępować tak, by nie narażać się na krytykę. Należy odróżnić krytykę od zniewagi sędziów i obrazy sądu. Sędziowie wykonują zawód zaufania publicznego i muszą być chronieni przez bezpodstawnymi oskarżeniami.</w:t>
      </w:r>
    </w:p>
    <w:p w:rsidR="0019634A" w:rsidRPr="0019634A" w:rsidRDefault="0019634A" w:rsidP="0019634A">
      <w:pPr>
        <w:ind w:firstLine="709"/>
        <w:jc w:val="both"/>
        <w:rPr>
          <w:b/>
        </w:rPr>
      </w:pPr>
      <w:r w:rsidRPr="0019634A">
        <w:rPr>
          <w:b/>
        </w:rPr>
        <w:t xml:space="preserve">Konstytucja wyznacza granice dla reprezentantów </w:t>
      </w:r>
      <w:r w:rsidRPr="0019634A">
        <w:rPr>
          <w:b/>
        </w:rPr>
        <w:t>N</w:t>
      </w:r>
      <w:r w:rsidRPr="0019634A">
        <w:rPr>
          <w:b/>
        </w:rPr>
        <w:t>arodu dzierżących władzę ustawodawczą. Dzięki sprawowaniu funkcji kontrolnej przez</w:t>
      </w:r>
      <w:r>
        <w:rPr>
          <w:b/>
        </w:rPr>
        <w:t xml:space="preserve"> sądy, suweren ma gwarancję, że </w:t>
      </w:r>
      <w:r w:rsidRPr="0019634A">
        <w:rPr>
          <w:b/>
        </w:rPr>
        <w:t xml:space="preserve">czynności podejmowane w jego imieniu przez jego </w:t>
      </w:r>
      <w:r>
        <w:rPr>
          <w:b/>
        </w:rPr>
        <w:t>przedstawicieli zasiadających w </w:t>
      </w:r>
      <w:r w:rsidRPr="0019634A">
        <w:rPr>
          <w:b/>
        </w:rPr>
        <w:t xml:space="preserve">organach władzy ustawodawczej i wykonawczej, </w:t>
      </w:r>
      <w:r>
        <w:rPr>
          <w:b/>
        </w:rPr>
        <w:t>są wykonywane w sposób zgodny z </w:t>
      </w:r>
      <w:r w:rsidRPr="0019634A">
        <w:rPr>
          <w:b/>
        </w:rPr>
        <w:t>Konstytucją. Sądy – działając w imieniu i interesie suwerena na podstawie legitymacji konstytucyjnej - mają obowiązek hamować działania ustawodawcze parlamentu, które prowadzą do naruszenia praw podstawowych gwarantowanych przez Konstytucję. Ich rola rośnie, gdy władza polityczna jest zainteresowana tym, b</w:t>
      </w:r>
      <w:r>
        <w:rPr>
          <w:b/>
        </w:rPr>
        <w:t>y akty przez nią stanowione nie </w:t>
      </w:r>
      <w:r w:rsidRPr="0019634A">
        <w:rPr>
          <w:b/>
        </w:rPr>
        <w:t>podlegały weryfikacji przez jakikolwiek niezale</w:t>
      </w:r>
      <w:r w:rsidRPr="0019634A">
        <w:rPr>
          <w:b/>
        </w:rPr>
        <w:t xml:space="preserve">żny i niefasadowy organ państwa (fragment UCHWAŁY </w:t>
      </w:r>
      <w:r w:rsidRPr="0019634A">
        <w:rPr>
          <w:b/>
        </w:rPr>
        <w:t>składu siedmiu sędziów Sądu Najwyższego</w:t>
      </w:r>
      <w:r w:rsidRPr="0019634A">
        <w:rPr>
          <w:b/>
        </w:rPr>
        <w:t xml:space="preserve"> z d</w:t>
      </w:r>
      <w:r w:rsidRPr="0019634A">
        <w:rPr>
          <w:b/>
        </w:rPr>
        <w:t>nia 26 kwietnia 2023 r.</w:t>
      </w:r>
      <w:r>
        <w:rPr>
          <w:b/>
        </w:rPr>
        <w:t xml:space="preserve"> w sprawie o </w:t>
      </w:r>
      <w:r w:rsidRPr="0019634A">
        <w:rPr>
          <w:b/>
        </w:rPr>
        <w:t>sygn. akt III PZP 6/22 - str. 12, ust. 6).</w:t>
      </w:r>
    </w:p>
    <w:p w:rsidR="0019634A" w:rsidRPr="0019634A" w:rsidRDefault="0019634A" w:rsidP="0019634A">
      <w:pPr>
        <w:ind w:firstLine="709"/>
        <w:jc w:val="both"/>
        <w:rPr>
          <w:b/>
        </w:rPr>
      </w:pPr>
      <w:r w:rsidRPr="0019634A">
        <w:rPr>
          <w:b/>
        </w:rPr>
        <w:t>Niedopełnienie tych obowiązków jest działaniem na szkodę Naszego (Polaków) Dobra Wspólnego - Rzeczypospolitej Polskiej. Naród sprawuje władzę przez swoich przedstawicieli lub bezpośrednio. W trosce o Dobro Wspólne (art. 1 i 82 Konstytucji RP) wzywam do działania zgodnego z prawem i powstrzymania dalszych jego naruszeń.</w:t>
      </w:r>
    </w:p>
    <w:p w:rsidR="0019634A" w:rsidRDefault="0019634A" w:rsidP="0019634A">
      <w:pPr>
        <w:ind w:firstLine="709"/>
        <w:jc w:val="both"/>
      </w:pPr>
      <w:r>
        <w:lastRenderedPageBreak/>
        <w:t>Instytucje publiczne, w tym sądy oraz wszyscy funkcjonariusze publiczni zgodnie z art. 7 Konstytucji RP mogą czynić tylko tyle, na ile przepisy im pozwalają. Obywatele, mogą zaś robić wszystko to, czego prawo nie zabrania. Zgodnie z art. 115 § 13 funkcjonariuszem publicznym jest osoba pełniąca czynną służbę wojskową, z wyjątkiem terytorialnej służby wojskowej pełnionej dyspozycyjnie. Żołnierz rezerwy poza odbywaniem ćwiczeń wojskowych nie jest funkcjonariuszem publicznym - jest obywatelem, który korzysta z tytułu wojskowego i przywileju noszenia munduru. Nie można ograniczać jego praw inaczej niż ustawą.</w:t>
      </w:r>
    </w:p>
    <w:p w:rsidR="0019634A" w:rsidRDefault="0019634A" w:rsidP="0019634A">
      <w:pPr>
        <w:ind w:firstLine="709"/>
        <w:jc w:val="both"/>
      </w:pPr>
      <w:r>
        <w:t>Skoro rozporządzenie służy wykonaniu ustawy i musi być z nią zgodne, to właściwie sformułowane upoważnienie ustawowe jest przesłanką konieczną do jego wydania. Z niższości rozporządzenia w stosunku do ustawy w hierarchii aktów prawnych wynikają fundamentalne warunki, które spełniać musi każde rozporządzenie. Musi mieć oparcie na podstawie ustawowej – nie może byś stanowione samoistnie, a to oznacza, że zakres jego regulacji nie może wychodzić poza wskazane przez upoważnienie ramy. Treść i cel rozporządzenia są ściśle uzależnione od celu ustawy, którą ma wykonywać. Oczywistym jest także fakt, że ro</w:t>
      </w:r>
      <w:r>
        <w:t>zporządzenie musi być zgodne ze </w:t>
      </w:r>
      <w:r>
        <w:t>wszystkimi aktami wyższego rzędu.</w:t>
      </w:r>
    </w:p>
    <w:p w:rsidR="0019634A" w:rsidRDefault="0019634A" w:rsidP="00325F7D">
      <w:pPr>
        <w:ind w:firstLine="709"/>
        <w:jc w:val="both"/>
      </w:pPr>
      <w:r>
        <w:t>Wszystkie rozporządzenia podlegają kontroli władzy sądowniczej i mogą być kwestionowane przed Trybunałem Konstytucyjnym, a takż</w:t>
      </w:r>
      <w:r>
        <w:t>e przed sądami powszechnymi lub </w:t>
      </w:r>
      <w:r>
        <w:t>administracyjnymi, których sędziowie mogą kontrolować ich konstytucyjność oraz legalność. Zgodnie z zasadą wyrażoną w art. 178 ust. 1 Konstytucji</w:t>
      </w:r>
      <w:r>
        <w:t>, która stanowi, że Sędziowie w </w:t>
      </w:r>
      <w:r>
        <w:t xml:space="preserve">sprawowaniu swojego urzędu są niezawiśli i podlegają </w:t>
      </w:r>
      <w:r w:rsidR="00452ACD">
        <w:t>tylko Konstytucji oraz ustawom,</w:t>
      </w:r>
      <w:r w:rsidRPr="00AC081D">
        <w:t xml:space="preserve"> wnoszę jak na wstępie.</w:t>
      </w:r>
      <w:r>
        <w:t xml:space="preserve"> </w:t>
      </w:r>
    </w:p>
    <w:p w:rsidR="00325F7D" w:rsidRPr="00325F7D" w:rsidRDefault="00325F7D" w:rsidP="00325F7D">
      <w:pPr>
        <w:shd w:val="clear" w:color="auto" w:fill="FFFFFF"/>
        <w:spacing w:after="0" w:line="240" w:lineRule="auto"/>
        <w:jc w:val="both"/>
      </w:pPr>
      <w:r w:rsidRPr="00325F7D">
        <w:t>Na podstawie spełnionych przesłanek z art 5 § </w:t>
      </w:r>
      <w:r>
        <w:t xml:space="preserve">1 </w:t>
      </w:r>
      <w:r w:rsidRPr="00325F7D">
        <w:t>Kodeksu postępowania w sprawach o</w:t>
      </w:r>
      <w:r>
        <w:t> </w:t>
      </w:r>
      <w:r w:rsidRPr="00325F7D">
        <w:t>wykroczenia -</w:t>
      </w:r>
    </w:p>
    <w:p w:rsidR="00325F7D" w:rsidRPr="00325F7D" w:rsidRDefault="00325F7D" w:rsidP="00325F7D">
      <w:pPr>
        <w:shd w:val="clear" w:color="auto" w:fill="FFFFFF"/>
        <w:spacing w:after="0" w:line="240" w:lineRule="auto"/>
        <w:jc w:val="both"/>
      </w:pPr>
    </w:p>
    <w:p w:rsidR="00325F7D" w:rsidRPr="00325F7D" w:rsidRDefault="00325F7D" w:rsidP="00325F7D">
      <w:pPr>
        <w:shd w:val="clear" w:color="auto" w:fill="FFFFFF"/>
        <w:spacing w:after="0" w:line="240" w:lineRule="auto"/>
        <w:ind w:left="567"/>
        <w:jc w:val="both"/>
        <w:rPr>
          <w:i/>
        </w:rPr>
      </w:pPr>
      <w:r>
        <w:rPr>
          <w:i/>
        </w:rPr>
        <w:t>„</w:t>
      </w:r>
      <w:r w:rsidRPr="00325F7D">
        <w:rPr>
          <w:i/>
        </w:rPr>
        <w:t>Nie wszczyna się postępowania, a wszczęte umarza, gdy:</w:t>
      </w:r>
    </w:p>
    <w:p w:rsidR="00325F7D" w:rsidRPr="00325F7D" w:rsidRDefault="00325F7D" w:rsidP="00325F7D">
      <w:pPr>
        <w:shd w:val="clear" w:color="auto" w:fill="FFFFFF"/>
        <w:spacing w:after="0" w:line="240" w:lineRule="auto"/>
        <w:ind w:left="567"/>
        <w:jc w:val="both"/>
        <w:rPr>
          <w:i/>
        </w:rPr>
      </w:pPr>
      <w:r w:rsidRPr="00325F7D">
        <w:rPr>
          <w:i/>
        </w:rPr>
        <w:t>1) czynu nie popełniono albo brak jest danych dostatecznie uzasadniających podejrzenie jego popełnienia;</w:t>
      </w:r>
    </w:p>
    <w:p w:rsidR="00325F7D" w:rsidRPr="00325F7D" w:rsidRDefault="00325F7D" w:rsidP="00325F7D">
      <w:pPr>
        <w:shd w:val="clear" w:color="auto" w:fill="FFFFFF"/>
        <w:spacing w:after="0" w:line="240" w:lineRule="auto"/>
        <w:ind w:left="567"/>
        <w:jc w:val="both"/>
        <w:rPr>
          <w:i/>
        </w:rPr>
      </w:pPr>
      <w:r w:rsidRPr="00325F7D">
        <w:rPr>
          <w:i/>
        </w:rPr>
        <w:t>2) czyn nie zawiera znamion wykroczenia albo ustawa stanowi, że sprawca nie popełnia wykroczenia;</w:t>
      </w:r>
    </w:p>
    <w:p w:rsidR="00325F7D" w:rsidRPr="00325F7D" w:rsidRDefault="00325F7D" w:rsidP="00325F7D">
      <w:pPr>
        <w:shd w:val="clear" w:color="auto" w:fill="FFFFFF"/>
        <w:spacing w:after="0" w:line="240" w:lineRule="auto"/>
        <w:ind w:left="567"/>
        <w:jc w:val="both"/>
        <w:rPr>
          <w:i/>
        </w:rPr>
      </w:pPr>
      <w:r w:rsidRPr="00325F7D">
        <w:rPr>
          <w:i/>
        </w:rPr>
        <w:t>3) ustawa stanowi, że sprawca nie podlega karze;</w:t>
      </w:r>
      <w:r>
        <w:rPr>
          <w:i/>
        </w:rPr>
        <w:t>”</w:t>
      </w:r>
    </w:p>
    <w:p w:rsidR="00325F7D" w:rsidRPr="00325F7D" w:rsidRDefault="00325F7D" w:rsidP="00325F7D">
      <w:pPr>
        <w:shd w:val="clear" w:color="auto" w:fill="FFFFFF"/>
        <w:spacing w:after="0" w:line="240" w:lineRule="auto"/>
        <w:jc w:val="both"/>
      </w:pPr>
    </w:p>
    <w:p w:rsidR="00325F7D" w:rsidRPr="00325F7D" w:rsidRDefault="00325F7D" w:rsidP="00325F7D">
      <w:pPr>
        <w:shd w:val="clear" w:color="auto" w:fill="FFFFFF"/>
        <w:spacing w:after="0" w:line="240" w:lineRule="auto"/>
        <w:jc w:val="both"/>
      </w:pPr>
      <w:r w:rsidRPr="00325F7D">
        <w:t xml:space="preserve">- </w:t>
      </w:r>
      <w:r w:rsidR="008D669C">
        <w:t xml:space="preserve">wskazuję na konieczność </w:t>
      </w:r>
      <w:r>
        <w:t xml:space="preserve">całkowitego </w:t>
      </w:r>
      <w:r w:rsidRPr="00325F7D">
        <w:t>umorzeni</w:t>
      </w:r>
      <w:r>
        <w:t>a sprawy</w:t>
      </w:r>
      <w:r w:rsidRPr="00325F7D">
        <w:t>.</w:t>
      </w:r>
    </w:p>
    <w:p w:rsidR="00325F7D" w:rsidRPr="00325F7D" w:rsidRDefault="00325F7D" w:rsidP="00325F7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575757"/>
          <w:sz w:val="21"/>
          <w:szCs w:val="21"/>
          <w:lang w:eastAsia="pl-PL"/>
        </w:rPr>
      </w:pPr>
    </w:p>
    <w:p w:rsidR="00325F7D" w:rsidRDefault="00325F7D" w:rsidP="0019634A">
      <w:pPr>
        <w:ind w:left="3261"/>
      </w:pPr>
    </w:p>
    <w:p w:rsidR="0019634A" w:rsidRPr="00692AC5" w:rsidRDefault="0019634A" w:rsidP="0019634A">
      <w:pPr>
        <w:ind w:left="3261"/>
        <w:rPr>
          <w:sz w:val="14"/>
        </w:rPr>
      </w:pPr>
      <w:r>
        <w:t>Z poważaniem - .....................................................................</w:t>
      </w:r>
      <w:r>
        <w:br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Pr="00692AC5">
        <w:rPr>
          <w:sz w:val="14"/>
        </w:rPr>
        <w:t>(podpis czytelny)</w:t>
      </w:r>
    </w:p>
    <w:p w:rsidR="0019634A" w:rsidRDefault="0019634A" w:rsidP="0019634A">
      <w:pPr>
        <w:jc w:val="both"/>
        <w:rPr>
          <w:b/>
          <w:sz w:val="18"/>
          <w:szCs w:val="18"/>
          <w:u w:val="single"/>
        </w:rPr>
      </w:pPr>
    </w:p>
    <w:p w:rsidR="0019634A" w:rsidRDefault="0019634A" w:rsidP="0019634A">
      <w:pPr>
        <w:jc w:val="both"/>
        <w:rPr>
          <w:sz w:val="18"/>
          <w:szCs w:val="18"/>
          <w:u w:val="single"/>
        </w:rPr>
      </w:pPr>
    </w:p>
    <w:p w:rsidR="0019634A" w:rsidRDefault="0019634A" w:rsidP="0019634A">
      <w:pPr>
        <w:jc w:val="both"/>
        <w:rPr>
          <w:sz w:val="18"/>
          <w:szCs w:val="18"/>
          <w:u w:val="single"/>
        </w:rPr>
      </w:pPr>
    </w:p>
    <w:p w:rsidR="0019634A" w:rsidRPr="004B07AA" w:rsidRDefault="0019634A" w:rsidP="0019634A">
      <w:pPr>
        <w:jc w:val="both"/>
        <w:rPr>
          <w:sz w:val="18"/>
          <w:szCs w:val="18"/>
          <w:u w:val="single"/>
        </w:rPr>
      </w:pPr>
      <w:r w:rsidRPr="004B07AA">
        <w:rPr>
          <w:sz w:val="18"/>
          <w:szCs w:val="18"/>
          <w:u w:val="single"/>
        </w:rPr>
        <w:t>Wykonano w dwóch egzemplarzach:</w:t>
      </w:r>
    </w:p>
    <w:p w:rsidR="0019634A" w:rsidRPr="00692AC5" w:rsidRDefault="0019634A" w:rsidP="0019634A">
      <w:pPr>
        <w:spacing w:after="0"/>
        <w:jc w:val="both"/>
        <w:rPr>
          <w:sz w:val="18"/>
          <w:szCs w:val="18"/>
        </w:rPr>
      </w:pPr>
      <w:r w:rsidRPr="00692AC5">
        <w:rPr>
          <w:sz w:val="18"/>
          <w:szCs w:val="18"/>
        </w:rPr>
        <w:t xml:space="preserve">1. </w:t>
      </w:r>
      <w:r w:rsidRPr="001918B7">
        <w:rPr>
          <w:i/>
          <w:sz w:val="18"/>
          <w:szCs w:val="18"/>
        </w:rPr>
        <w:t>ad acta</w:t>
      </w:r>
      <w:r w:rsidRPr="00692AC5">
        <w:rPr>
          <w:sz w:val="18"/>
          <w:szCs w:val="18"/>
        </w:rPr>
        <w:t>;</w:t>
      </w:r>
    </w:p>
    <w:p w:rsidR="003A054F" w:rsidRPr="0019634A" w:rsidRDefault="0019634A" w:rsidP="0019634A">
      <w:pPr>
        <w:jc w:val="both"/>
        <w:rPr>
          <w:sz w:val="18"/>
          <w:szCs w:val="18"/>
        </w:rPr>
      </w:pPr>
      <w:r w:rsidRPr="00692AC5">
        <w:rPr>
          <w:sz w:val="18"/>
          <w:szCs w:val="18"/>
        </w:rPr>
        <w:t xml:space="preserve">2. </w:t>
      </w:r>
      <w:r w:rsidR="00325F7D">
        <w:rPr>
          <w:sz w:val="18"/>
          <w:szCs w:val="18"/>
        </w:rPr>
        <w:t>SR Lublin-Zachód w Lublinie</w:t>
      </w:r>
      <w:r w:rsidRPr="00692AC5">
        <w:rPr>
          <w:sz w:val="18"/>
          <w:szCs w:val="18"/>
        </w:rPr>
        <w:t>.</w:t>
      </w:r>
    </w:p>
    <w:sectPr w:rsidR="003A054F" w:rsidRPr="0019634A" w:rsidSect="003A054F">
      <w:footerReference w:type="default" r:id="rId8"/>
      <w:headerReference w:type="first" r:id="rId9"/>
      <w:footerReference w:type="first" r:id="rId10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A3" w:rsidRDefault="00134BA3" w:rsidP="003A054F">
      <w:pPr>
        <w:spacing w:after="0" w:line="240" w:lineRule="auto"/>
      </w:pPr>
      <w:r>
        <w:separator/>
      </w:r>
    </w:p>
  </w:endnote>
  <w:endnote w:type="continuationSeparator" w:id="1">
    <w:p w:rsidR="00134BA3" w:rsidRDefault="00134BA3" w:rsidP="003A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56876"/>
      <w:docPartObj>
        <w:docPartGallery w:val="Page Numbers (Bottom of Page)"/>
        <w:docPartUnique/>
      </w:docPartObj>
    </w:sdtPr>
    <w:sdtContent>
      <w:p w:rsidR="0019634A" w:rsidRDefault="0019634A">
        <w:pPr>
          <w:pStyle w:val="Stopka"/>
          <w:jc w:val="center"/>
        </w:pPr>
        <w:r>
          <w:t xml:space="preserve">str. </w:t>
        </w:r>
        <w:fldSimple w:instr=" PAGE   \* MERGEFORMAT ">
          <w:r w:rsidR="005A47FF">
            <w:rPr>
              <w:noProof/>
            </w:rPr>
            <w:t>2</w:t>
          </w:r>
        </w:fldSimple>
      </w:p>
    </w:sdtContent>
  </w:sdt>
  <w:p w:rsidR="0019634A" w:rsidRDefault="0019634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C5" w:rsidRDefault="00692AC5">
    <w:pPr>
      <w:pStyle w:val="Stopka"/>
      <w:jc w:val="center"/>
    </w:pPr>
    <w:r>
      <w:t xml:space="preserve">str. </w:t>
    </w:r>
    <w:sdt>
      <w:sdtPr>
        <w:id w:val="84121329"/>
        <w:docPartObj>
          <w:docPartGallery w:val="Page Numbers (Bottom of Page)"/>
          <w:docPartUnique/>
        </w:docPartObj>
      </w:sdtPr>
      <w:sdtContent>
        <w:fldSimple w:instr=" PAGE   \* MERGEFORMAT ">
          <w:r w:rsidR="005A47FF">
            <w:rPr>
              <w:noProof/>
            </w:rPr>
            <w:t>1</w:t>
          </w:r>
        </w:fldSimple>
      </w:sdtContent>
    </w:sdt>
  </w:p>
  <w:p w:rsidR="00692AC5" w:rsidRDefault="00692AC5" w:rsidP="00692AC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A3" w:rsidRDefault="00134BA3" w:rsidP="003A054F">
      <w:pPr>
        <w:spacing w:after="0" w:line="240" w:lineRule="auto"/>
      </w:pPr>
      <w:r>
        <w:separator/>
      </w:r>
    </w:p>
  </w:footnote>
  <w:footnote w:type="continuationSeparator" w:id="1">
    <w:p w:rsidR="00134BA3" w:rsidRDefault="00134BA3" w:rsidP="003A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4F" w:rsidRDefault="003A054F" w:rsidP="00692AC5">
    <w:pPr>
      <w:pStyle w:val="Nagwek"/>
      <w:tabs>
        <w:tab w:val="clear" w:pos="4536"/>
        <w:tab w:val="clear" w:pos="9072"/>
      </w:tabs>
      <w:ind w:left="4962"/>
      <w:jc w:val="right"/>
    </w:pPr>
    <w:r>
      <w:t>...................................., dn. ……11.2024 r.</w:t>
    </w:r>
    <w:r>
      <w:br/>
    </w:r>
    <w:r w:rsidR="00692AC5">
      <w:rPr>
        <w:sz w:val="14"/>
      </w:rPr>
      <w:tab/>
    </w:r>
    <w:r w:rsidRPr="003A054F">
      <w:rPr>
        <w:sz w:val="14"/>
      </w:rPr>
      <w:t>(miejscowość)</w:t>
    </w:r>
    <w:r w:rsidR="00692AC5">
      <w:rPr>
        <w:sz w:val="14"/>
      </w:rPr>
      <w:tab/>
    </w:r>
    <w:r w:rsidR="00692AC5">
      <w:rPr>
        <w:sz w:val="14"/>
      </w:rPr>
      <w:tab/>
    </w:r>
    <w:r w:rsidR="00692AC5">
      <w:rPr>
        <w:sz w:val="14"/>
      </w:rPr>
      <w:tab/>
    </w:r>
    <w:r w:rsidRPr="003A054F">
      <w:br/>
    </w:r>
    <w:r>
      <w:t>egz.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73E"/>
    <w:multiLevelType w:val="hybridMultilevel"/>
    <w:tmpl w:val="4636F4A2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7">
      <w:start w:val="1"/>
      <w:numFmt w:val="lowerLetter"/>
      <w:lvlText w:val="%2)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8E42945"/>
    <w:multiLevelType w:val="hybridMultilevel"/>
    <w:tmpl w:val="CB5E6EEE"/>
    <w:lvl w:ilvl="0" w:tplc="1EF62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F3C33"/>
    <w:rsid w:val="000518CF"/>
    <w:rsid w:val="000B6947"/>
    <w:rsid w:val="00134BA3"/>
    <w:rsid w:val="001753BD"/>
    <w:rsid w:val="00186B86"/>
    <w:rsid w:val="001918B7"/>
    <w:rsid w:val="0019634A"/>
    <w:rsid w:val="001D4D6A"/>
    <w:rsid w:val="001F542D"/>
    <w:rsid w:val="00252BB6"/>
    <w:rsid w:val="00325F7D"/>
    <w:rsid w:val="00332156"/>
    <w:rsid w:val="00364E79"/>
    <w:rsid w:val="00372227"/>
    <w:rsid w:val="003A054F"/>
    <w:rsid w:val="00452ACD"/>
    <w:rsid w:val="004B07AA"/>
    <w:rsid w:val="005A47FF"/>
    <w:rsid w:val="005E14CE"/>
    <w:rsid w:val="00692AC5"/>
    <w:rsid w:val="008D669C"/>
    <w:rsid w:val="009470BA"/>
    <w:rsid w:val="00A216DF"/>
    <w:rsid w:val="00A54A88"/>
    <w:rsid w:val="00CA52CE"/>
    <w:rsid w:val="00E02282"/>
    <w:rsid w:val="00E151D2"/>
    <w:rsid w:val="00FB0471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C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054F"/>
  </w:style>
  <w:style w:type="paragraph" w:styleId="Stopka">
    <w:name w:val="footer"/>
    <w:basedOn w:val="Normalny"/>
    <w:link w:val="StopkaZnak"/>
    <w:uiPriority w:val="99"/>
    <w:unhideWhenUsed/>
    <w:rsid w:val="003A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54F"/>
  </w:style>
  <w:style w:type="character" w:styleId="Pogrubienie">
    <w:name w:val="Strong"/>
    <w:basedOn w:val="Domylnaczcionkaakapitu"/>
    <w:uiPriority w:val="22"/>
    <w:qFormat/>
    <w:rsid w:val="00196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76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20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32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757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73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CBE9-AADB-4805-AEE2-512B1D67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2024-11-18T20:44:00Z</cp:lastPrinted>
  <dcterms:created xsi:type="dcterms:W3CDTF">2024-11-22T12:54:00Z</dcterms:created>
  <dcterms:modified xsi:type="dcterms:W3CDTF">2024-11-22T15:01:00Z</dcterms:modified>
</cp:coreProperties>
</file>